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A3C8" w14:textId="77777777" w:rsidR="00726EF9" w:rsidRDefault="00D00DFE">
      <w:pPr>
        <w:pStyle w:val="Nagwek10"/>
        <w:keepNext/>
        <w:keepLines/>
      </w:pPr>
      <w:bookmarkStart w:id="0" w:name="bookmark0"/>
      <w:r>
        <w:rPr>
          <w:rStyle w:val="Nagwek1"/>
          <w:b/>
          <w:bCs/>
          <w:lang w:val="fr-FR" w:eastAsia="fr-FR"/>
        </w:rPr>
        <w:t xml:space="preserve">Opis przedmiotu </w:t>
      </w:r>
      <w:r>
        <w:rPr>
          <w:rStyle w:val="Nagwek1"/>
          <w:b/>
          <w:bCs/>
        </w:rPr>
        <w:t xml:space="preserve">sprzedaży </w:t>
      </w:r>
      <w:r>
        <w:rPr>
          <w:rStyle w:val="Nagwek1"/>
          <w:b/>
          <w:bCs/>
          <w:lang w:val="fr-FR" w:eastAsia="fr-FR"/>
        </w:rPr>
        <w:t xml:space="preserve">i </w:t>
      </w:r>
      <w:r>
        <w:rPr>
          <w:rStyle w:val="Nagwek1"/>
          <w:b/>
          <w:bCs/>
        </w:rPr>
        <w:t>zdjęcia poglądowe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63"/>
        <w:gridCol w:w="1699"/>
        <w:gridCol w:w="1560"/>
        <w:gridCol w:w="5064"/>
      </w:tblGrid>
      <w:tr w:rsidR="00726EF9" w14:paraId="666321ED" w14:textId="77777777">
        <w:trPr>
          <w:trHeight w:hRule="exact" w:val="75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6E5F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19C1C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  <w:lang w:val="pl-PL" w:eastAsia="pl-PL"/>
              </w:rPr>
              <w:t>Nazwa składnika rzeczowego majątku ruchomego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EB46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Numer inwentarzowy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C22F8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 xml:space="preserve">Rok </w:t>
            </w:r>
            <w:r>
              <w:rPr>
                <w:rStyle w:val="Inne"/>
                <w:b/>
                <w:bCs/>
                <w:lang w:val="pl-PL" w:eastAsia="pl-PL"/>
              </w:rPr>
              <w:t xml:space="preserve">zakupu/przyjęcia </w:t>
            </w:r>
            <w:r>
              <w:rPr>
                <w:rStyle w:val="Inne"/>
                <w:b/>
                <w:bCs/>
              </w:rPr>
              <w:t>na stan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37A" w14:textId="77777777" w:rsidR="00726EF9" w:rsidRDefault="00D00DFE">
            <w:pPr>
              <w:pStyle w:val="Inne0"/>
            </w:pPr>
            <w:r>
              <w:rPr>
                <w:rStyle w:val="Inne"/>
                <w:b/>
                <w:bCs/>
              </w:rPr>
              <w:t>Opis stanu technicznego</w:t>
            </w:r>
          </w:p>
        </w:tc>
      </w:tr>
      <w:tr w:rsidR="00726EF9" w14:paraId="2EBA9F53" w14:textId="77777777">
        <w:trPr>
          <w:trHeight w:hRule="exact" w:val="3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95C70" w14:textId="77777777" w:rsidR="00726EF9" w:rsidRDefault="00D00DFE">
            <w:pPr>
              <w:pStyle w:val="Inne0"/>
            </w:pPr>
            <w:r>
              <w:rPr>
                <w:rStyle w:val="Inne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BF845" w14:textId="77777777" w:rsidR="00726EF9" w:rsidRDefault="00D00DFE">
            <w:pPr>
              <w:pStyle w:val="Inne0"/>
            </w:pPr>
            <w:r>
              <w:rPr>
                <w:rStyle w:val="Inne"/>
                <w:lang w:val="pl-PL" w:eastAsia="pl-PL"/>
              </w:rPr>
              <w:t>Samochód FORD FOCUS nr rej. SB 5754T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0691F" w14:textId="77777777" w:rsidR="00726EF9" w:rsidRDefault="00D00DFE">
            <w:pPr>
              <w:pStyle w:val="Inne0"/>
            </w:pPr>
            <w:r>
              <w:rPr>
                <w:rStyle w:val="Inne"/>
              </w:rPr>
              <w:t>2401-741/3233-T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DC658" w14:textId="77777777" w:rsidR="00726EF9" w:rsidRDefault="00D00DFE">
            <w:pPr>
              <w:pStyle w:val="Inne0"/>
            </w:pPr>
            <w:r>
              <w:rPr>
                <w:rStyle w:val="Inne"/>
              </w:rPr>
              <w:t>12.09.2008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005" w14:textId="77777777" w:rsidR="00726EF9" w:rsidRDefault="00D00DFE">
            <w:pPr>
              <w:pStyle w:val="Inne0"/>
            </w:pPr>
            <w:r>
              <w:rPr>
                <w:rStyle w:val="Inne"/>
                <w:lang w:val="pl-PL" w:eastAsia="pl-PL"/>
              </w:rPr>
              <w:t xml:space="preserve">Samochód </w:t>
            </w:r>
            <w:r>
              <w:rPr>
                <w:rStyle w:val="Inne"/>
              </w:rPr>
              <w:t xml:space="preserve">skorodowany </w:t>
            </w:r>
            <w:r>
              <w:rPr>
                <w:rStyle w:val="Inne"/>
                <w:lang w:val="pl-PL" w:eastAsia="pl-PL"/>
              </w:rPr>
              <w:t xml:space="preserve">(błotnik, </w:t>
            </w:r>
            <w:r>
              <w:rPr>
                <w:rStyle w:val="Inne"/>
              </w:rPr>
              <w:t xml:space="preserve">progi, nadkola, klapa </w:t>
            </w:r>
            <w:r>
              <w:rPr>
                <w:rStyle w:val="Inne"/>
                <w:lang w:val="pl-PL" w:eastAsia="pl-PL"/>
              </w:rPr>
              <w:t xml:space="preserve">bagażnika, </w:t>
            </w:r>
            <w:r>
              <w:rPr>
                <w:rStyle w:val="Inne"/>
              </w:rPr>
              <w:t xml:space="preserve">mocowanie foteli , </w:t>
            </w:r>
            <w:r>
              <w:rPr>
                <w:rStyle w:val="Inne"/>
                <w:lang w:val="pl-PL" w:eastAsia="pl-PL"/>
              </w:rPr>
              <w:t xml:space="preserve">podłoga, drążek </w:t>
            </w:r>
            <w:r>
              <w:rPr>
                <w:rStyle w:val="Inne"/>
              </w:rPr>
              <w:t xml:space="preserve">kierowniczy, kielichy przedniego zawieszenia i elementy zawieszenia (wahacze i mocowania </w:t>
            </w:r>
            <w:r>
              <w:rPr>
                <w:rStyle w:val="Inne"/>
                <w:lang w:val="pl-PL" w:eastAsia="pl-PL"/>
              </w:rPr>
              <w:t xml:space="preserve">amortyzatorów), </w:t>
            </w:r>
            <w:r>
              <w:rPr>
                <w:rStyle w:val="Inne"/>
              </w:rPr>
              <w:t xml:space="preserve">korozja na elementach </w:t>
            </w:r>
            <w:r>
              <w:rPr>
                <w:rStyle w:val="Inne"/>
                <w:lang w:val="pl-PL" w:eastAsia="pl-PL"/>
              </w:rPr>
              <w:t xml:space="preserve">nośnych (podłużnice), tłumik końcowy </w:t>
            </w:r>
            <w:r>
              <w:rPr>
                <w:rStyle w:val="Inne"/>
              </w:rPr>
              <w:t xml:space="preserve">posiada liczne dziury, tylny pas (podwozie za zderzakiem) nosi </w:t>
            </w:r>
            <w:r>
              <w:rPr>
                <w:rStyle w:val="Inne"/>
                <w:lang w:val="pl-PL" w:eastAsia="pl-PL"/>
              </w:rPr>
              <w:t xml:space="preserve">ślady </w:t>
            </w:r>
            <w:r>
              <w:rPr>
                <w:rStyle w:val="Inne"/>
              </w:rPr>
              <w:t xml:space="preserve">rozwarstwienia </w:t>
            </w:r>
            <w:r>
              <w:rPr>
                <w:rStyle w:val="Inne"/>
                <w:lang w:val="pl-PL" w:eastAsia="pl-PL"/>
              </w:rPr>
              <w:t xml:space="preserve">materiału </w:t>
            </w:r>
            <w:r>
              <w:rPr>
                <w:rStyle w:val="Inne"/>
              </w:rPr>
              <w:t xml:space="preserve">(zaawansowana korozja)), posiada nieczytelny nr VIN. Obecny stan pojazdu nie pozwala na uzyskanie pozytywnego wyniku </w:t>
            </w:r>
            <w:r>
              <w:rPr>
                <w:rStyle w:val="Inne"/>
                <w:lang w:val="pl-PL" w:eastAsia="pl-PL"/>
              </w:rPr>
              <w:t xml:space="preserve">przeglądu </w:t>
            </w:r>
            <w:r>
              <w:rPr>
                <w:rStyle w:val="Inne"/>
              </w:rPr>
              <w:t>technicznego.</w:t>
            </w:r>
          </w:p>
        </w:tc>
      </w:tr>
    </w:tbl>
    <w:p w14:paraId="487EECC6" w14:textId="77777777" w:rsidR="00726EF9" w:rsidRDefault="00726EF9">
      <w:pPr>
        <w:sectPr w:rsidR="00726E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314" w:h="6139" w:orient="landscape"/>
          <w:pgMar w:top="322" w:right="216" w:bottom="322" w:left="221" w:header="0" w:footer="3" w:gutter="0"/>
          <w:pgNumType w:start="1"/>
          <w:cols w:space="720"/>
          <w:noEndnote/>
          <w:docGrid w:linePitch="360"/>
        </w:sectPr>
      </w:pPr>
    </w:p>
    <w:p w14:paraId="484E358E" w14:textId="77777777" w:rsidR="00726EF9" w:rsidRDefault="00D00DFE">
      <w:pPr>
        <w:jc w:val="center"/>
        <w:rPr>
          <w:sz w:val="2"/>
          <w:szCs w:val="2"/>
        </w:rPr>
        <w:sectPr w:rsidR="00726EF9">
          <w:pgSz w:w="10938" w:h="12743"/>
          <w:pgMar w:top="147" w:right="126" w:bottom="109" w:left="126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4271BE6A" wp14:editId="20A2CBCA">
            <wp:extent cx="6784975" cy="78028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784975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6951" w14:textId="77777777" w:rsidR="00726EF9" w:rsidRDefault="00D00DFE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070D1B6" wp14:editId="2329F7FA">
            <wp:extent cx="6809105" cy="78092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809105" cy="78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5FA3560" w14:textId="77777777" w:rsidR="00726EF9" w:rsidRDefault="00D00DFE">
      <w:pPr>
        <w:jc w:val="center"/>
        <w:rPr>
          <w:sz w:val="2"/>
          <w:szCs w:val="2"/>
        </w:rPr>
        <w:sectPr w:rsidR="00726EF9">
          <w:pgSz w:w="10938" w:h="12743"/>
          <w:pgMar w:top="123" w:right="107" w:bottom="123" w:left="10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1C1B08E4" wp14:editId="5430C8DA">
            <wp:extent cx="6809105" cy="779081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809105" cy="77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5B8C" w14:textId="77777777" w:rsidR="00726EF9" w:rsidRDefault="00D00DFE">
      <w:pPr>
        <w:jc w:val="center"/>
        <w:rPr>
          <w:sz w:val="2"/>
          <w:szCs w:val="2"/>
        </w:rPr>
        <w:sectPr w:rsidR="00726EF9">
          <w:pgSz w:w="10938" w:h="12743"/>
          <w:pgMar w:top="4174" w:right="107" w:bottom="4174" w:left="107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6E962B9C" wp14:editId="1213E667">
            <wp:extent cx="6809105" cy="26638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80910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E21F" w14:textId="77777777" w:rsidR="00726EF9" w:rsidRDefault="00D00DFE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07AB218" wp14:editId="1E0F10CC">
            <wp:extent cx="6675120" cy="87052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675120" cy="870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EF9">
      <w:pgSz w:w="10790" w:h="14185"/>
      <w:pgMar w:top="179" w:right="106" w:bottom="98" w:left="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613C" w14:textId="77777777" w:rsidR="00CC5C9E" w:rsidRDefault="00D00DFE">
      <w:r>
        <w:separator/>
      </w:r>
    </w:p>
  </w:endnote>
  <w:endnote w:type="continuationSeparator" w:id="0">
    <w:p w14:paraId="7D704CDC" w14:textId="77777777" w:rsidR="00CC5C9E" w:rsidRDefault="00D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EC61" w14:textId="77777777" w:rsidR="00D00DFE" w:rsidRDefault="00D00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2AC2" w14:textId="77777777" w:rsidR="00D00DFE" w:rsidRDefault="00D00D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F8E1" w14:textId="77777777" w:rsidR="00D00DFE" w:rsidRDefault="00D00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1FED" w14:textId="77777777" w:rsidR="00726EF9" w:rsidRDefault="00726EF9"/>
  </w:footnote>
  <w:footnote w:type="continuationSeparator" w:id="0">
    <w:p w14:paraId="72D8528E" w14:textId="77777777" w:rsidR="00726EF9" w:rsidRDefault="00726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A322" w14:textId="77777777" w:rsidR="00D00DFE" w:rsidRDefault="00D00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07B" w14:textId="77777777" w:rsidR="00D00DFE" w:rsidRDefault="00D00D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B564" w14:textId="77777777" w:rsidR="00D00DFE" w:rsidRDefault="00D00D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F9"/>
    <w:rsid w:val="002C5141"/>
    <w:rsid w:val="0052312C"/>
    <w:rsid w:val="00726EF9"/>
    <w:rsid w:val="00747636"/>
    <w:rsid w:val="00CC5C9E"/>
    <w:rsid w:val="00D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1AF51"/>
  <w15:docId w15:val="{DF1274AC-C76D-43C7-9DAF-E99A466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pl-PL" w:eastAsia="pl-PL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740"/>
      <w:jc w:val="center"/>
      <w:outlineLvl w:val="0"/>
    </w:pPr>
    <w:rPr>
      <w:rFonts w:ascii="Calibri" w:eastAsia="Calibri" w:hAnsi="Calibri" w:cs="Calibri"/>
      <w:b/>
      <w:bCs/>
      <w:lang w:val="pl-PL" w:eastAsia="pl-PL"/>
    </w:rPr>
  </w:style>
  <w:style w:type="paragraph" w:customStyle="1" w:styleId="Inne0">
    <w:name w:val="Inne"/>
    <w:basedOn w:val="Normalny"/>
    <w:link w:val="Inne"/>
    <w:pPr>
      <w:jc w:val="center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DF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0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D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sprzedaży i zdjęcia poglądowe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sprzedaży i zdjęcia poglądowe</dc:title>
  <dc:subject/>
  <cp:keywords/>
  <cp:revision>5</cp:revision>
  <dcterms:created xsi:type="dcterms:W3CDTF">2025-08-22T09:54:00Z</dcterms:created>
  <dcterms:modified xsi:type="dcterms:W3CDTF">2025-08-22T12:25:00Z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UxC4dwLulzfINJ8nQH+xvX5LNGipWa4BRSZhPgxsCvmWF4+E5je5I3Aw5c80iWtGqNLypZ/1IJrH9+YHI84q8A==</vt:lpwstr>
  </property>
  <property fmtid="{D5CDD505-2E9C-101B-9397-08002B2CF9AE}" pid="4" name="MFClassificationDate">
    <vt:lpwstr>2025-08-22T11:53:27.7146492+02:00</vt:lpwstr>
  </property>
  <property fmtid="{D5CDD505-2E9C-101B-9397-08002B2CF9AE}" pid="5" name="MFClassifiedBySID">
    <vt:lpwstr>UxC4dwLulzfINJ8nQH+xvX5LNGipWa4BRSZhPgxsCvm42mrIC/DSDv0ggS+FjUN/2v1BBotkLlY5aAiEhoi6uTZCZyvDLhLPPRiv7OgNXdIX2yl8eiFVeA5PeSqNkFST</vt:lpwstr>
  </property>
  <property fmtid="{D5CDD505-2E9C-101B-9397-08002B2CF9AE}" pid="6" name="MFGRNItemId">
    <vt:lpwstr>GRN-6d620f56-55e0-43e1-ae38-ca797cea3d31</vt:lpwstr>
  </property>
  <property fmtid="{D5CDD505-2E9C-101B-9397-08002B2CF9AE}" pid="7" name="MFHash">
    <vt:lpwstr>iTn9IQeg13Thfc4yImqInaDJbNnPXrVQ1xhAgtbZWb0=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