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CC658FD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</w:t>
      </w:r>
      <w:r w:rsidR="00F40AA3">
        <w:rPr>
          <w:rFonts w:ascii="Lato" w:hAnsi="Lato"/>
          <w:i/>
          <w:color w:val="2F5496" w:themeColor="accent1" w:themeShade="BF"/>
        </w:rPr>
        <w:t>6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3319AC74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ych sprzedaż zarządził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6E4F1E3F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 w:themeColor="text1"/>
        </w:rPr>
        <w:t>29 kwietnia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057770">
        <w:rPr>
          <w:rStyle w:val="Nagwek2Znak"/>
          <w:rFonts w:ascii="Lato" w:hAnsi="Lato" w:cstheme="minorHAnsi"/>
          <w:b w:val="0"/>
          <w:color w:val="auto"/>
          <w:szCs w:val="28"/>
        </w:rPr>
        <w:t>2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057770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5858" w14:textId="77777777" w:rsidR="00F858FA" w:rsidRPr="00A24C8C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 xml:space="preserve">marka – </w:t>
            </w:r>
            <w:r>
              <w:rPr>
                <w:rFonts w:ascii="Arial" w:hAnsi="Arial" w:cs="Arial"/>
                <w:i/>
              </w:rPr>
              <w:t xml:space="preserve">Opel </w:t>
            </w:r>
          </w:p>
          <w:p w14:paraId="125EE02B" w14:textId="77777777" w:rsidR="00F858FA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>model –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Signum</w:t>
            </w:r>
            <w:proofErr w:type="spellEnd"/>
          </w:p>
          <w:p w14:paraId="5CCA8DF0" w14:textId="77777777" w:rsidR="00F858FA" w:rsidRPr="00DF11E2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DF11E2">
              <w:rPr>
                <w:rFonts w:ascii="Arial" w:hAnsi="Arial" w:cs="Arial"/>
                <w:i/>
              </w:rPr>
              <w:t xml:space="preserve">nr rejestracyjny – </w:t>
            </w:r>
            <w:r>
              <w:rPr>
                <w:rFonts w:ascii="Arial" w:hAnsi="Arial" w:cs="Arial"/>
                <w:i/>
              </w:rPr>
              <w:t>M PS 2591</w:t>
            </w:r>
          </w:p>
          <w:p w14:paraId="61B4127E" w14:textId="77777777" w:rsidR="00F858FA" w:rsidRPr="00C2004E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C2004E">
              <w:rPr>
                <w:rFonts w:ascii="Arial" w:hAnsi="Arial" w:cs="Arial"/>
                <w:i/>
              </w:rPr>
              <w:t>nr nadwozia – WOLOZCF4881092663</w:t>
            </w:r>
          </w:p>
          <w:p w14:paraId="5436519A" w14:textId="77777777" w:rsidR="00F858FA" w:rsidRPr="00C2004E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C2004E">
              <w:rPr>
                <w:rFonts w:ascii="Arial" w:hAnsi="Arial" w:cs="Arial"/>
                <w:i/>
              </w:rPr>
              <w:t>pojemność silnika – 2.792 cm</w:t>
            </w:r>
            <w:proofErr w:type="gramStart"/>
            <w:r w:rsidRPr="00C2004E">
              <w:rPr>
                <w:rFonts w:ascii="Arial" w:hAnsi="Arial" w:cs="Arial"/>
                <w:i/>
                <w:vertAlign w:val="superscript"/>
              </w:rPr>
              <w:t>3</w:t>
            </w:r>
            <w:r w:rsidRPr="00C2004E">
              <w:rPr>
                <w:rFonts w:ascii="Arial" w:hAnsi="Arial" w:cs="Arial"/>
                <w:i/>
              </w:rPr>
              <w:t xml:space="preserve">  (</w:t>
            </w:r>
            <w:proofErr w:type="gramEnd"/>
            <w:r w:rsidRPr="00C2004E">
              <w:rPr>
                <w:rFonts w:ascii="Arial" w:hAnsi="Arial" w:cs="Arial"/>
                <w:i/>
              </w:rPr>
              <w:t>benzyna)</w:t>
            </w:r>
          </w:p>
          <w:p w14:paraId="42E55504" w14:textId="77777777" w:rsidR="00F858FA" w:rsidRPr="00C2004E" w:rsidRDefault="00F858FA" w:rsidP="00F858FA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 xml:space="preserve">moc silnika – 184 kW </w:t>
            </w:r>
            <w:proofErr w:type="gramStart"/>
            <w:r w:rsidRPr="00C2004E">
              <w:rPr>
                <w:rFonts w:ascii="Arial" w:hAnsi="Arial" w:cs="Arial"/>
                <w:i/>
                <w:sz w:val="22"/>
                <w:szCs w:val="22"/>
              </w:rPr>
              <w:t>[ 250</w:t>
            </w:r>
            <w:proofErr w:type="gramEnd"/>
            <w:r w:rsidRPr="00C2004E">
              <w:rPr>
                <w:rFonts w:ascii="Arial" w:hAnsi="Arial" w:cs="Arial"/>
                <w:i/>
                <w:sz w:val="22"/>
                <w:szCs w:val="22"/>
              </w:rPr>
              <w:t xml:space="preserve"> KM]</w:t>
            </w:r>
          </w:p>
          <w:p w14:paraId="72FB4CA6" w14:textId="77777777" w:rsidR="00F858FA" w:rsidRPr="00C2004E" w:rsidRDefault="00F858FA" w:rsidP="00F858FA">
            <w:pPr>
              <w:pStyle w:val="Tekstpodstawowy21"/>
              <w:rPr>
                <w:rFonts w:ascii="Arial" w:hAnsi="Arial" w:cs="Arial"/>
                <w:i/>
                <w:sz w:val="18"/>
                <w:szCs w:val="18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>stan licznika – brak danych</w:t>
            </w:r>
          </w:p>
          <w:p w14:paraId="2DB8601C" w14:textId="77777777" w:rsidR="00F858FA" w:rsidRPr="00C2004E" w:rsidRDefault="00F858FA" w:rsidP="00F858FA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>data pierwszej rejestracji – brak danych</w:t>
            </w:r>
          </w:p>
          <w:p w14:paraId="154BE9EA" w14:textId="77777777" w:rsidR="00F858FA" w:rsidRPr="00DF11E2" w:rsidRDefault="00F858FA" w:rsidP="00F858FA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>rok produkcji – 2008</w:t>
            </w:r>
          </w:p>
          <w:p w14:paraId="7CFCC5F8" w14:textId="4AD93C6E" w:rsidR="00A21353" w:rsidRPr="00C927D7" w:rsidRDefault="00A21353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4363669E" w:rsidR="00A21353" w:rsidRPr="00C927D7" w:rsidRDefault="00F858FA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1CBDC040" w:rsidR="00A21353" w:rsidRPr="00C927D7" w:rsidRDefault="00F858FA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7</w:t>
            </w:r>
            <w:r w:rsidR="00A01632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425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6648E00B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brak kluczyków (pojazd zamknięty),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2DDBBAFD" w14:textId="5FAF8B6C" w:rsidR="00F858FA" w:rsidRDefault="00F858FA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F858FA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y</w:t>
            </w:r>
          </w:p>
          <w:p w14:paraId="37741C7A" w14:textId="63B83C59" w:rsidR="0061282E" w:rsidRDefault="00F858FA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rejestracji na terenie Rzeczypospolitej Polskiej</w:t>
            </w:r>
          </w:p>
          <w:p w14:paraId="14A7E373" w14:textId="274DF12A" w:rsidR="00F858FA" w:rsidRPr="007D6FCC" w:rsidRDefault="00F858FA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85FCE33" w14:textId="77777777" w:rsidR="00B438E5" w:rsidRDefault="00B438E5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16902972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9F39E4">
        <w:rPr>
          <w:rFonts w:ascii="Lato" w:hAnsi="Lato"/>
          <w:bCs/>
          <w:sz w:val="24"/>
          <w:szCs w:val="24"/>
        </w:rPr>
        <w:t>2</w:t>
      </w:r>
      <w:r w:rsidR="00B438E5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 xml:space="preserve"> </w:t>
      </w:r>
      <w:r w:rsidR="00B438E5">
        <w:rPr>
          <w:rFonts w:ascii="Lato" w:hAnsi="Lato"/>
          <w:bCs/>
          <w:sz w:val="24"/>
          <w:szCs w:val="24"/>
        </w:rPr>
        <w:t>kwietnia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7354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 xml:space="preserve">Parkingu </w:t>
      </w:r>
      <w:proofErr w:type="spellStart"/>
      <w:r w:rsidRPr="00664C4B">
        <w:rPr>
          <w:rFonts w:ascii="Lato" w:hAnsi="Lato" w:cstheme="minorHAnsi"/>
          <w:sz w:val="24"/>
          <w:szCs w:val="24"/>
        </w:rPr>
        <w:t>Interwencyjno</w:t>
      </w:r>
      <w:proofErr w:type="spellEnd"/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5A856DF" w14:textId="77777777" w:rsidR="00A01632" w:rsidRDefault="00A01632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F04A" w14:textId="77777777" w:rsidR="00EF689A" w:rsidRDefault="00EF689A">
      <w:pPr>
        <w:spacing w:after="0" w:line="240" w:lineRule="auto"/>
      </w:pPr>
      <w:r>
        <w:separator/>
      </w:r>
    </w:p>
  </w:endnote>
  <w:endnote w:type="continuationSeparator" w:id="0">
    <w:p w14:paraId="2BCC9DE4" w14:textId="77777777" w:rsidR="00EF689A" w:rsidRDefault="00E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F3EE" w14:textId="77777777" w:rsidR="00EF689A" w:rsidRDefault="00EF689A">
      <w:pPr>
        <w:spacing w:after="0" w:line="240" w:lineRule="auto"/>
      </w:pPr>
      <w:r>
        <w:separator/>
      </w:r>
    </w:p>
  </w:footnote>
  <w:footnote w:type="continuationSeparator" w:id="0">
    <w:p w14:paraId="65CD20CB" w14:textId="77777777" w:rsidR="00EF689A" w:rsidRDefault="00EF6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57770"/>
    <w:rsid w:val="00072B6B"/>
    <w:rsid w:val="00075731"/>
    <w:rsid w:val="000A0891"/>
    <w:rsid w:val="00120FA5"/>
    <w:rsid w:val="0014320F"/>
    <w:rsid w:val="00165A4D"/>
    <w:rsid w:val="001A4D61"/>
    <w:rsid w:val="0023596E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24D7F"/>
    <w:rsid w:val="00750982"/>
    <w:rsid w:val="007C0648"/>
    <w:rsid w:val="007C3781"/>
    <w:rsid w:val="007D6FCC"/>
    <w:rsid w:val="007D70E1"/>
    <w:rsid w:val="007F62A1"/>
    <w:rsid w:val="008072F6"/>
    <w:rsid w:val="00846676"/>
    <w:rsid w:val="00895CF3"/>
    <w:rsid w:val="008A4F61"/>
    <w:rsid w:val="008F427E"/>
    <w:rsid w:val="008F6C8D"/>
    <w:rsid w:val="0092131B"/>
    <w:rsid w:val="009777C5"/>
    <w:rsid w:val="00981273"/>
    <w:rsid w:val="009C2646"/>
    <w:rsid w:val="009E1C6F"/>
    <w:rsid w:val="009F39E4"/>
    <w:rsid w:val="00A01632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14E4D"/>
    <w:rsid w:val="00D76B02"/>
    <w:rsid w:val="00D90EE9"/>
    <w:rsid w:val="00DB29A5"/>
    <w:rsid w:val="00DB77D2"/>
    <w:rsid w:val="00DF3BFC"/>
    <w:rsid w:val="00E05B4D"/>
    <w:rsid w:val="00E25563"/>
    <w:rsid w:val="00E84142"/>
    <w:rsid w:val="00E90F4E"/>
    <w:rsid w:val="00EA0BC2"/>
    <w:rsid w:val="00EF689A"/>
    <w:rsid w:val="00F00112"/>
    <w:rsid w:val="00F40AA3"/>
    <w:rsid w:val="00F43234"/>
    <w:rsid w:val="00F616C6"/>
    <w:rsid w:val="00F73545"/>
    <w:rsid w:val="00F73ED0"/>
    <w:rsid w:val="00F858FA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3</cp:revision>
  <cp:lastPrinted>2026-02-10T13:01:00Z</cp:lastPrinted>
  <dcterms:created xsi:type="dcterms:W3CDTF">2026-04-15T14:00:00Z</dcterms:created>
  <dcterms:modified xsi:type="dcterms:W3CDTF">2026-04-16T08:38:00Z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