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342856B7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801D89">
        <w:rPr>
          <w:rFonts w:cstheme="minorHAnsi"/>
          <w:color w:val="000000" w:themeColor="text1"/>
          <w:sz w:val="24"/>
          <w:szCs w:val="24"/>
        </w:rPr>
        <w:t>2</w:t>
      </w:r>
      <w:r w:rsidR="002038FF">
        <w:rPr>
          <w:rFonts w:cstheme="minorHAnsi"/>
          <w:color w:val="000000" w:themeColor="text1"/>
          <w:sz w:val="24"/>
          <w:szCs w:val="24"/>
        </w:rPr>
        <w:t>3</w:t>
      </w:r>
      <w:r w:rsidR="00801D89">
        <w:rPr>
          <w:rFonts w:cstheme="minorHAnsi"/>
          <w:color w:val="000000" w:themeColor="text1"/>
          <w:sz w:val="24"/>
          <w:szCs w:val="24"/>
        </w:rPr>
        <w:t xml:space="preserve"> kwietnia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7B89B6BB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D3097E" w:rsidRPr="00D3097E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</w:t>
      </w:r>
      <w:r w:rsidR="00801D89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8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9A21D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kwietni</w:t>
      </w:r>
      <w:r w:rsidR="003D3C3E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F16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91352F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3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1417"/>
        <w:gridCol w:w="2268"/>
      </w:tblGrid>
      <w:tr w:rsidR="00CB5730" w:rsidRPr="00D927C4" w14:paraId="736D10D4" w14:textId="77777777" w:rsidTr="006F167E">
        <w:trPr>
          <w:trHeight w:val="686"/>
        </w:trPr>
        <w:tc>
          <w:tcPr>
            <w:tcW w:w="562" w:type="dxa"/>
          </w:tcPr>
          <w:p w14:paraId="530BF741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3544" w:type="dxa"/>
          </w:tcPr>
          <w:p w14:paraId="0D196A2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0954F3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17" w:type="dxa"/>
          </w:tcPr>
          <w:p w14:paraId="0FB882F6" w14:textId="46D7FB9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2268" w:type="dxa"/>
          </w:tcPr>
          <w:p w14:paraId="685F9968" w14:textId="225AC03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CB5730" w:rsidRPr="00D927C4" w14:paraId="64E351BD" w14:textId="77777777" w:rsidTr="006F167E">
        <w:trPr>
          <w:trHeight w:val="1854"/>
        </w:trPr>
        <w:tc>
          <w:tcPr>
            <w:tcW w:w="562" w:type="dxa"/>
          </w:tcPr>
          <w:p w14:paraId="3A2B866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2CF30B3" w14:textId="28E19C32" w:rsidR="00CB5730" w:rsidRPr="00124204" w:rsidRDefault="009A21DE" w:rsidP="009A21DE">
            <w:pPr>
              <w:pStyle w:val="Tekstpodstawowy"/>
              <w:rPr>
                <w:color w:val="000000" w:themeColor="text1"/>
                <w:szCs w:val="24"/>
              </w:rPr>
            </w:pPr>
            <w:r w:rsidRPr="00124204">
              <w:rPr>
                <w:color w:val="000000" w:themeColor="text1"/>
                <w:szCs w:val="24"/>
              </w:rPr>
              <w:t xml:space="preserve">Samochód osobowy </w:t>
            </w:r>
            <w:r w:rsidR="0091352F" w:rsidRPr="00124204">
              <w:rPr>
                <w:color w:val="000000" w:themeColor="text1"/>
                <w:szCs w:val="24"/>
              </w:rPr>
              <w:t>Ford Kuga</w:t>
            </w:r>
            <w:r w:rsidR="00CB5730" w:rsidRPr="00124204">
              <w:rPr>
                <w:color w:val="000000" w:themeColor="text1"/>
                <w:szCs w:val="24"/>
              </w:rPr>
              <w:t xml:space="preserve">, rok produkcji </w:t>
            </w:r>
            <w:r w:rsidR="0091352F" w:rsidRPr="00124204">
              <w:rPr>
                <w:color w:val="000000" w:themeColor="text1"/>
                <w:szCs w:val="24"/>
              </w:rPr>
              <w:t>2013</w:t>
            </w:r>
            <w:r w:rsidR="00CB5730" w:rsidRPr="00124204">
              <w:rPr>
                <w:color w:val="000000" w:themeColor="text1"/>
                <w:szCs w:val="24"/>
              </w:rPr>
              <w:t xml:space="preserve">, nr rej. </w:t>
            </w:r>
            <w:r w:rsidR="00801D89" w:rsidRPr="00124204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</w:t>
            </w:r>
            <w:r w:rsidR="006F167E" w:rsidRPr="00124204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</w:t>
            </w:r>
            <w:r w:rsidR="00225E60" w:rsidRPr="00124204">
              <w:rPr>
                <w:color w:val="000000" w:themeColor="text1"/>
                <w:szCs w:val="24"/>
              </w:rPr>
              <w:t>POT2EN5</w:t>
            </w:r>
            <w:r w:rsidR="00CB5730" w:rsidRPr="00124204">
              <w:rPr>
                <w:color w:val="000000" w:themeColor="text1"/>
                <w:szCs w:val="24"/>
              </w:rPr>
              <w:t xml:space="preserve">, nr VIN </w:t>
            </w:r>
            <w:r w:rsidR="00801D89" w:rsidRPr="00124204">
              <w:rPr>
                <w:rFonts w:ascii="TimesNewRomanPS-BoldMT" w:eastAsiaTheme="minorHAnsi" w:hAnsi="TimesNewRomanPS-BoldMT" w:cs="TimesNewRomanPS-BoldMT"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6F167E" w:rsidRPr="00124204">
              <w:rPr>
                <w:rFonts w:ascii="TimesNewRomanPS-BoldMT" w:eastAsiaTheme="minorHAnsi" w:hAnsi="TimesNewRomanPS-BoldMT" w:cs="TimesNewRomanPS-BoldMT"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225E60" w:rsidRPr="00124204">
              <w:rPr>
                <w:color w:val="000000" w:themeColor="text1"/>
                <w:szCs w:val="24"/>
              </w:rPr>
              <w:t>WF0AXXWPMADR85414</w:t>
            </w:r>
            <w:r w:rsidR="00CB5730" w:rsidRPr="00124204">
              <w:rPr>
                <w:color w:val="000000" w:themeColor="text1"/>
                <w:szCs w:val="24"/>
              </w:rPr>
              <w:t xml:space="preserve">, data pierwszej rejestracji </w:t>
            </w:r>
            <w:r w:rsidR="00225E60" w:rsidRPr="00124204">
              <w:rPr>
                <w:color w:val="000000" w:themeColor="text1"/>
                <w:szCs w:val="24"/>
              </w:rPr>
              <w:t>16.12.2013</w:t>
            </w:r>
            <w:r w:rsidR="00CB5730" w:rsidRPr="00124204">
              <w:rPr>
                <w:color w:val="000000" w:themeColor="text1"/>
                <w:szCs w:val="24"/>
              </w:rPr>
              <w:t xml:space="preserve"> r.</w:t>
            </w:r>
            <w:r w:rsidR="00225E60" w:rsidRPr="00124204">
              <w:rPr>
                <w:color w:val="000000" w:themeColor="text1"/>
                <w:szCs w:val="24"/>
              </w:rPr>
              <w:t xml:space="preserve">, data pierwszej rejestracji </w:t>
            </w:r>
            <w:r w:rsidR="00124204">
              <w:rPr>
                <w:color w:val="000000" w:themeColor="text1"/>
                <w:szCs w:val="24"/>
              </w:rPr>
              <w:br/>
            </w:r>
            <w:r w:rsidR="00225E60" w:rsidRPr="00124204">
              <w:rPr>
                <w:color w:val="000000" w:themeColor="text1"/>
                <w:szCs w:val="24"/>
              </w:rPr>
              <w:t>w kraju 18.10.2019 r.</w:t>
            </w:r>
          </w:p>
        </w:tc>
        <w:tc>
          <w:tcPr>
            <w:tcW w:w="1418" w:type="dxa"/>
          </w:tcPr>
          <w:p w14:paraId="518C075C" w14:textId="3CD7F65D" w:rsidR="00CB5730" w:rsidRPr="00D927C4" w:rsidRDefault="00225E60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5.000</w:t>
            </w:r>
            <w:r w:rsidR="00801D89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1417" w:type="dxa"/>
          </w:tcPr>
          <w:p w14:paraId="651BD580" w14:textId="3F67D9F7" w:rsidR="00CB5730" w:rsidRDefault="00225E60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</w:t>
            </w:r>
            <w:r w:rsidR="006F167E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.75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CB573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2268" w:type="dxa"/>
          </w:tcPr>
          <w:p w14:paraId="5EAE8EA0" w14:textId="24DF62E4" w:rsidR="00CB5730" w:rsidRDefault="00124204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Samochód</w:t>
            </w:r>
            <w:r w:rsidR="00225E6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powypadkow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y niezdatny do użytku</w:t>
            </w:r>
            <w:r w:rsidR="00225E6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, sprzedaż 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„</w:t>
            </w:r>
            <w:r w:rsidR="00225E6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na 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części”</w:t>
            </w:r>
          </w:p>
        </w:tc>
      </w:tr>
    </w:tbl>
    <w:p w14:paraId="3DB9CD51" w14:textId="77777777" w:rsidR="00CC0B06" w:rsidRDefault="00CC0B06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7FC3BF09" w14:textId="52E1DBCB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03118B6A" w:rsidR="00E420D9" w:rsidRPr="009A2C4E" w:rsidRDefault="0078632C" w:rsidP="006F167E">
      <w:pPr>
        <w:pStyle w:val="TekstpismaKAS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D3097E">
        <w:t>2</w:t>
      </w:r>
      <w:r w:rsidR="00801D89">
        <w:t>8</w:t>
      </w:r>
      <w:r w:rsidR="00B46137">
        <w:t xml:space="preserve"> </w:t>
      </w:r>
      <w:r w:rsidR="00801D89">
        <w:t>kwietnia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6F167E">
        <w:t>1</w:t>
      </w:r>
      <w:r w:rsidR="00225E60">
        <w:t>2</w:t>
      </w:r>
      <w:r w:rsidR="00801D89">
        <w:t>:</w:t>
      </w:r>
      <w:r w:rsidR="00EE156C">
        <w:t xml:space="preserve">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6F167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4AF5CDB8" w14:textId="77777777" w:rsidR="00CC0B06" w:rsidRDefault="00CC0B06" w:rsidP="00CC0B06">
      <w:pPr>
        <w:pStyle w:val="Standard"/>
        <w:spacing w:before="120" w:line="276" w:lineRule="auto"/>
        <w:ind w:left="360"/>
        <w:contextualSpacing/>
        <w:rPr>
          <w:bCs/>
          <w:sz w:val="24"/>
          <w:szCs w:val="24"/>
        </w:rPr>
      </w:pPr>
    </w:p>
    <w:p w14:paraId="0A676009" w14:textId="744D0CED" w:rsidR="00CC0B06" w:rsidRDefault="009A2C4E" w:rsidP="00CC0B06">
      <w:pPr>
        <w:pStyle w:val="Standard"/>
        <w:numPr>
          <w:ilvl w:val="0"/>
          <w:numId w:val="5"/>
        </w:numPr>
        <w:spacing w:before="120" w:line="276" w:lineRule="auto"/>
        <w:ind w:left="0" w:firstLine="360"/>
        <w:contextualSpacing/>
        <w:rPr>
          <w:bCs/>
          <w:sz w:val="24"/>
          <w:szCs w:val="24"/>
        </w:rPr>
      </w:pPr>
      <w:r w:rsidRPr="00CC0B06">
        <w:rPr>
          <w:bCs/>
          <w:sz w:val="24"/>
          <w:szCs w:val="24"/>
        </w:rPr>
        <w:lastRenderedPageBreak/>
        <w:t>Nabywca obowiązany jest natychmiast po udzieleniu mu przybicia uiścić przynajmniej cenę wywołania w gotówce</w:t>
      </w:r>
      <w:r w:rsidRPr="00CC0B06">
        <w:rPr>
          <w:bCs/>
          <w:i/>
          <w:sz w:val="24"/>
          <w:szCs w:val="24"/>
        </w:rPr>
        <w:t>.</w:t>
      </w:r>
      <w:r w:rsidRPr="00CC0B06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</w:t>
      </w:r>
      <w:r w:rsidR="00CC0B06">
        <w:rPr>
          <w:bCs/>
          <w:sz w:val="24"/>
          <w:szCs w:val="24"/>
        </w:rPr>
        <w:t xml:space="preserve"> </w:t>
      </w:r>
    </w:p>
    <w:p w14:paraId="48215EC3" w14:textId="6780B7EC" w:rsidR="00CC0B06" w:rsidRPr="00CC0B06" w:rsidRDefault="00CC0B06" w:rsidP="00CC0B06">
      <w:pPr>
        <w:pStyle w:val="Standard"/>
      </w:pPr>
      <w:r w:rsidRPr="00CC0B06">
        <w:t>wylicytowanej kwoty należy wpłacić na rachunek bankowy organu egzekucyjnego o nr</w:t>
      </w:r>
    </w:p>
    <w:p w14:paraId="1BBB8695" w14:textId="7865DE49" w:rsidR="009A2C4E" w:rsidRPr="00CC0B06" w:rsidRDefault="009A2C4E" w:rsidP="00CC0B06">
      <w:pPr>
        <w:pStyle w:val="Standard"/>
        <w:spacing w:before="120" w:after="0" w:line="276" w:lineRule="auto"/>
        <w:contextualSpacing/>
        <w:rPr>
          <w:bCs/>
          <w:sz w:val="24"/>
          <w:szCs w:val="24"/>
        </w:rPr>
      </w:pPr>
      <w:r w:rsidRPr="00CC0B06">
        <w:rPr>
          <w:bCs/>
          <w:sz w:val="24"/>
          <w:szCs w:val="24"/>
        </w:rPr>
        <w:t>08 1010 1469 0004 2013 9120 0000</w:t>
      </w:r>
      <w:r w:rsidR="00C15776">
        <w:rPr>
          <w:bCs/>
          <w:sz w:val="24"/>
          <w:szCs w:val="24"/>
        </w:rPr>
        <w:br/>
      </w:r>
      <w:r w:rsidRPr="00CC0B06">
        <w:rPr>
          <w:bCs/>
          <w:sz w:val="24"/>
          <w:szCs w:val="24"/>
        </w:rPr>
        <w:t>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67B6E3D5" w:rsidR="009A2C4E" w:rsidRPr="00FA5C8A" w:rsidRDefault="009A2C4E" w:rsidP="006F167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(t.j. Dz.U. z 202</w:t>
      </w:r>
      <w:r w:rsidR="00801D89">
        <w:rPr>
          <w:rFonts w:cstheme="minorHAnsi"/>
          <w:szCs w:val="24"/>
        </w:rPr>
        <w:t>6</w:t>
      </w:r>
      <w:r w:rsidRPr="00FA5C8A">
        <w:rPr>
          <w:rFonts w:cstheme="minorHAnsi"/>
          <w:szCs w:val="24"/>
        </w:rPr>
        <w:t xml:space="preserve"> r. poz. </w:t>
      </w:r>
      <w:r w:rsidR="00801D89">
        <w:rPr>
          <w:rFonts w:cstheme="minorHAnsi"/>
          <w:szCs w:val="24"/>
        </w:rPr>
        <w:t>268</w:t>
      </w:r>
      <w:r w:rsidRPr="00FA5C8A">
        <w:rPr>
          <w:rFonts w:cstheme="minorHAnsi"/>
          <w:szCs w:val="24"/>
        </w:rPr>
        <w:t xml:space="preserve"> ze zm.);</w:t>
      </w:r>
    </w:p>
    <w:p w14:paraId="7011BF23" w14:textId="77777777" w:rsidR="009A2C4E" w:rsidRDefault="009A2C4E" w:rsidP="006F167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 xml:space="preserve">Rozporządzenie Rady Ministrów z 28 lutego 2011 r. w sprawie rozciągnięcia stosowania przepisów ustawy o postępowaniu egzekucyjnym w administracji (t.j.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2F6F371B" w:rsidR="001E0124" w:rsidRDefault="001E0124" w:rsidP="00801D89">
      <w:r>
        <w:t xml:space="preserve">Kwalifikowany podpis elektroniczny ma skutek prawny równoważny podpisowi </w:t>
      </w:r>
      <w:r w:rsidR="00801D89">
        <w:t>w</w:t>
      </w:r>
      <w:r>
        <w:t xml:space="preserve">łasnoręcznemu (art. 25 ust. 2 Rozporządzenia Parlamentu Europejskiego i Rady (UE) nr 910/2014 z dnia 23 lipca 2014 r. </w:t>
      </w:r>
      <w:r w:rsidR="00801D89">
        <w:br/>
      </w:r>
      <w:r>
        <w:t xml:space="preserve">w sprawie identyfikacji elektronicznej i usług zaufania w odniesieniu do transakcji elektronicznych </w:t>
      </w:r>
      <w:r w:rsidR="00801D89">
        <w:br/>
      </w:r>
      <w:r>
        <w:t xml:space="preserve">na rynku wewnętrznym oraz uchylające dyrektywę 1999/93/WE). Wydruk tego dokumentu, </w:t>
      </w:r>
      <w:r w:rsidR="00801D89">
        <w:br/>
      </w:r>
      <w:r>
        <w:t xml:space="preserve">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B66D" w14:textId="77777777" w:rsidR="00CB32E7" w:rsidRDefault="00CB32E7">
      <w:pPr>
        <w:spacing w:after="0" w:line="240" w:lineRule="auto"/>
      </w:pPr>
      <w:r>
        <w:separator/>
      </w:r>
    </w:p>
  </w:endnote>
  <w:endnote w:type="continuationSeparator" w:id="0">
    <w:p w14:paraId="70DD67BC" w14:textId="77777777" w:rsidR="00CB32E7" w:rsidRDefault="00CB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06270448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0B06" w:rsidRPr="00CC0B06">
      <w:rPr>
        <w:rFonts w:cs="Calibri"/>
      </w:rPr>
      <w:t xml:space="preserve"> </w:t>
    </w:r>
    <w:r w:rsidR="00CC0B06" w:rsidRPr="00D47F13">
      <w:rPr>
        <w:rFonts w:cs="Calibri"/>
      </w:rPr>
      <w:t>Infol</w:t>
    </w:r>
    <w:r w:rsidR="00CC0B06">
      <w:rPr>
        <w:rFonts w:cs="Calibri"/>
      </w:rPr>
      <w:t>i</w:t>
    </w:r>
    <w:r w:rsidR="00CC0B06" w:rsidRPr="00D47F13">
      <w:rPr>
        <w:rFonts w:cs="Calibri"/>
      </w:rPr>
      <w:t>nia KAS tel.+48 22 330 03 30</w:t>
    </w:r>
    <w:r w:rsidR="00CC0B06">
      <w:rPr>
        <w:rFonts w:cs="Calibri"/>
      </w:rPr>
      <w:t xml:space="preserve"> | ADE </w:t>
    </w:r>
    <w:r w:rsidR="00CC0B06">
      <w:rPr>
        <w:rFonts w:cs="Calibri"/>
      </w:rPr>
      <w:fldChar w:fldCharType="begin"/>
    </w:r>
    <w:r w:rsidR="00CC0B06">
      <w:rPr>
        <w:rFonts w:cs="Calibri"/>
      </w:rPr>
      <w:instrText xml:space="preserve"> DOCPROPERTY  DaneJednostki18  \* MERGEFORMAT </w:instrText>
    </w:r>
    <w:r w:rsidR="00CC0B06">
      <w:rPr>
        <w:rFonts w:cs="Calibri"/>
      </w:rPr>
      <w:fldChar w:fldCharType="separate"/>
    </w:r>
    <w:r w:rsidR="00CC0B06">
      <w:rPr>
        <w:rFonts w:cs="Calibri"/>
      </w:rPr>
      <w:t>AE:PL-12391-71071-USDEI-23</w:t>
    </w:r>
    <w:r w:rsidR="00CC0B06">
      <w:rPr>
        <w:rFonts w:cs="Calibri"/>
      </w:rPr>
      <w:fldChar w:fldCharType="end"/>
    </w:r>
    <w:r w:rsidR="00CC0B06">
      <w:rPr>
        <w:rFonts w:cs="Calibri"/>
      </w:rPr>
      <w:t xml:space="preserve"> |</w:t>
    </w:r>
  </w:p>
  <w:p w14:paraId="4CEAF522" w14:textId="6CCB0492" w:rsidR="00CC0B06" w:rsidRDefault="00CC0B06" w:rsidP="00E420D9">
    <w:pPr>
      <w:pStyle w:val="StopkaKAS"/>
      <w:ind w:right="792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www.wielkopolskie.kas.gov.pl/urzad-skarbowy-w-ostrzeszowie</w:t>
    </w:r>
    <w:r>
      <w:rPr>
        <w:rFonts w:cs="Calibri"/>
      </w:rPr>
      <w:fldChar w:fldCharType="end"/>
    </w:r>
  </w:p>
  <w:p w14:paraId="76D0CFA3" w14:textId="60FEC372" w:rsidR="0057173B" w:rsidRDefault="00CC0B06" w:rsidP="00CC0B06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56C7" w14:textId="77777777" w:rsidR="00CB32E7" w:rsidRDefault="00CB32E7">
      <w:pPr>
        <w:spacing w:after="0" w:line="240" w:lineRule="auto"/>
      </w:pPr>
      <w:r>
        <w:separator/>
      </w:r>
    </w:p>
  </w:footnote>
  <w:footnote w:type="continuationSeparator" w:id="0">
    <w:p w14:paraId="43227A2E" w14:textId="77777777" w:rsidR="00CB32E7" w:rsidRDefault="00CB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A4909"/>
    <w:rsid w:val="000B0B53"/>
    <w:rsid w:val="000C33E4"/>
    <w:rsid w:val="000C5E72"/>
    <w:rsid w:val="00103F06"/>
    <w:rsid w:val="00124204"/>
    <w:rsid w:val="00155454"/>
    <w:rsid w:val="001E0124"/>
    <w:rsid w:val="002038FF"/>
    <w:rsid w:val="00225E60"/>
    <w:rsid w:val="0026345D"/>
    <w:rsid w:val="00266AFA"/>
    <w:rsid w:val="00273252"/>
    <w:rsid w:val="002B7D0F"/>
    <w:rsid w:val="002D5F21"/>
    <w:rsid w:val="002E1C5D"/>
    <w:rsid w:val="002F07BF"/>
    <w:rsid w:val="00321CDC"/>
    <w:rsid w:val="00387567"/>
    <w:rsid w:val="003D3C3E"/>
    <w:rsid w:val="003F1B05"/>
    <w:rsid w:val="00420468"/>
    <w:rsid w:val="004E5903"/>
    <w:rsid w:val="004E613F"/>
    <w:rsid w:val="00535393"/>
    <w:rsid w:val="0054194F"/>
    <w:rsid w:val="00561CE0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6B4DB9"/>
    <w:rsid w:val="006C142C"/>
    <w:rsid w:val="006F167E"/>
    <w:rsid w:val="00767CD7"/>
    <w:rsid w:val="0078632C"/>
    <w:rsid w:val="007B3896"/>
    <w:rsid w:val="007E7630"/>
    <w:rsid w:val="00800C73"/>
    <w:rsid w:val="00801D89"/>
    <w:rsid w:val="0081501E"/>
    <w:rsid w:val="00820165"/>
    <w:rsid w:val="00902561"/>
    <w:rsid w:val="0091352F"/>
    <w:rsid w:val="0093390B"/>
    <w:rsid w:val="00936308"/>
    <w:rsid w:val="009736AE"/>
    <w:rsid w:val="00973B29"/>
    <w:rsid w:val="0099735B"/>
    <w:rsid w:val="009A21DE"/>
    <w:rsid w:val="009A2C4E"/>
    <w:rsid w:val="009B4B37"/>
    <w:rsid w:val="009D6732"/>
    <w:rsid w:val="009E5CFE"/>
    <w:rsid w:val="00A81177"/>
    <w:rsid w:val="00AA5AC3"/>
    <w:rsid w:val="00AB283F"/>
    <w:rsid w:val="00AB28F6"/>
    <w:rsid w:val="00B46137"/>
    <w:rsid w:val="00B46318"/>
    <w:rsid w:val="00B477F6"/>
    <w:rsid w:val="00BB0904"/>
    <w:rsid w:val="00BD02D2"/>
    <w:rsid w:val="00BF06B1"/>
    <w:rsid w:val="00C15776"/>
    <w:rsid w:val="00CB32E7"/>
    <w:rsid w:val="00CB5730"/>
    <w:rsid w:val="00CC0B06"/>
    <w:rsid w:val="00D3097E"/>
    <w:rsid w:val="00D609E9"/>
    <w:rsid w:val="00DA5F16"/>
    <w:rsid w:val="00E118CB"/>
    <w:rsid w:val="00E11CF5"/>
    <w:rsid w:val="00E372CC"/>
    <w:rsid w:val="00E420D9"/>
    <w:rsid w:val="00E8497A"/>
    <w:rsid w:val="00E87D1F"/>
    <w:rsid w:val="00EE156C"/>
    <w:rsid w:val="00E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Mokracka Katarzyna</cp:lastModifiedBy>
  <cp:revision>8</cp:revision>
  <cp:lastPrinted>2026-03-24T09:38:00Z</cp:lastPrinted>
  <dcterms:created xsi:type="dcterms:W3CDTF">2026-04-23T06:17:00Z</dcterms:created>
  <dcterms:modified xsi:type="dcterms:W3CDTF">2026-04-23T07:28:00Z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