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2</w:t>
      </w:r>
      <w:r>
        <w:rPr>
          <w:rFonts w:ascii="Lato" w:hAnsi="Lato"/>
          <w:i/>
          <w:color w:themeColor="accent1" w:themeShade="bf" w:val="2F5496"/>
        </w:rPr>
        <w:t>9</w:t>
      </w:r>
      <w:r>
        <w:rPr>
          <w:rFonts w:ascii="Lato" w:hAnsi="Lato"/>
          <w:i/>
          <w:color w:themeColor="accent1" w:themeShade="bf" w:val="2F5496"/>
        </w:rPr>
        <w:t xml:space="preserve"> kwietnia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Agnieszka Piórnik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29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maja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4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0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Piła, ul.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Mickiewicza 97A/7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ód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osobow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y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OPEL ZAFIRA 1.8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, 200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PP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7399L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W0L0AHM7572074570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250</w:t>
            </w:r>
            <w:r>
              <w:rPr>
                <w:rFonts w:cs="Arial"/>
                <w:bCs/>
                <w:sz w:val="24"/>
                <w:szCs w:val="24"/>
              </w:rPr>
              <w:t>,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04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12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6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ód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osobow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y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FORD F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IESTA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1.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HATCHBACK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, 200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PP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7446H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, nr VIN WF0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DXGAJD6P74922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31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8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6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 w:eastAsiaTheme="minorHAnsi"/>
          <w:bCs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29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maj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3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45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4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w 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, ul.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Mickiewicza 97A/7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LibreOffice/25.2.3.2$Windows_X86_64 LibreOffice_project/bbb074479178df812d175f709636b368952c2ce3</Application>
  <AppVersion>15.0000</AppVersion>
  <Pages>2</Pages>
  <Words>289</Words>
  <Characters>1879</Characters>
  <CharactersWithSpaces>2847</CharactersWithSpaces>
  <Paragraphs>54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2026-04-29T07:08:43Z</dcterms:modified>
  <cp:revision>83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