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</w:t>
      </w:r>
      <w:r>
        <w:rPr>
          <w:rFonts w:ascii="Lato" w:hAnsi="Lato"/>
          <w:i/>
          <w:color w:themeColor="accent1" w:themeShade="bf" w:val="2F5496"/>
        </w:rPr>
        <w:t>9</w:t>
      </w:r>
      <w:r>
        <w:rPr>
          <w:rFonts w:ascii="Lato" w:hAnsi="Lato"/>
          <w:i/>
          <w:color w:themeColor="accent1" w:themeShade="bf" w:val="2F5496"/>
        </w:rPr>
        <w:t xml:space="preserve"> kwietnia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Krzysztofa Mleczko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29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maja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13.0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Młodych 71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MERCEDES-BENZ C200 KOMPRESOR 1.8 KOMBI2005 rok, nr rej. PP9479U, VIN WDB2032421F741721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14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10.500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1.400,00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01.08.2005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MERCEDES-BENZ C180 1.8 KOMBI 2004 rok, nr rej. PP8328M, VIN WDB2032461F641483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29.10.2004 r.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u w:val="none"/>
          <w:lang w:val="pl-PL" w:eastAsia="zh-CN" w:bidi="ar-SA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.45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13.0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, ul. Młodych 71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LibreOffice/25.2.3.2$Windows_X86_64 LibreOffice_project/bbb074479178df812d175f709636b368952c2ce3</Application>
  <AppVersion>15.0000</AppVersion>
  <Pages>3</Pages>
  <Words>379</Words>
  <Characters>2460</Characters>
  <CharactersWithSpaces>3513</CharactersWithSpaces>
  <Paragraphs>60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2026-04-29T07:10:01Z</dcterms:modified>
  <cp:revision>84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