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</w:t>
      </w:r>
      <w:r>
        <w:rPr>
          <w:rFonts w:ascii="Lato" w:hAnsi="Lato"/>
          <w:i/>
          <w:color w:themeColor="accent1" w:themeShade="bf" w:val="2F5496"/>
        </w:rPr>
        <w:t>9</w:t>
      </w:r>
      <w:r>
        <w:rPr>
          <w:rFonts w:ascii="Lato" w:hAnsi="Lato"/>
          <w:i/>
          <w:color w:themeColor="accent1" w:themeShade="bf" w:val="2F5496"/>
        </w:rPr>
        <w:t xml:space="preserve"> kwietnia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Jarosława Chimiaka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maja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11.4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Topolowa 17B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Udział ½ prawa własności samochodu osobowego FORD MONDEO 2.0 (SEDAN), 2008 rok, nr rej. PP6114K, nr VIN WF0DXXGBBDBC45882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.250,00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2.437</w:t>
            </w:r>
            <w:r>
              <w:rPr>
                <w:rFonts w:cs="Arial"/>
                <w:bCs/>
                <w:sz w:val="24"/>
                <w:szCs w:val="24"/>
              </w:rPr>
              <w:t>,50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25.06.2008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Udział ½ prawa własności samochodu osobowego FORD FOCUS 1.4 KOMBI LPG, 2007 rok, nr rej. PP1432T, nr VIN WF0SXXGCDS7P42266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1.500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22.01.2008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.30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11.4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, ul. Topolowa 17B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LibreOffice/25.2.3.2$Windows_X86_64 LibreOffice_project/bbb074479178df812d175f709636b368952c2ce3</Application>
  <AppVersion>15.0000</AppVersion>
  <Pages>2</Pages>
  <Words>299</Words>
  <Characters>1924</Characters>
  <CharactersWithSpaces>2902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2026-04-29T07:09:24Z</dcterms:modified>
  <cp:revision>83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