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8100" distB="825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29 kwietnia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których Sąd Rejonowy w Wolsztynie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6 maja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 9:00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>6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4-200 Wolsztyn, ul. Dworcowa 15 – (teren Urzędu Skarbowego w Wolsztynie – parking za budynkiem)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550"/>
        <w:gridCol w:w="1305"/>
        <w:gridCol w:w="1410"/>
        <w:gridCol w:w="1304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¾ wartości szacunkowej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osobowy marki Suzuki Ignis, rok produkcji 2005, numer rejestracyjny TSA SM35, numer VIN TSMMHX81S00158006, pojazd uszkodzony, po wypadku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2.000,00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1.500,00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  <w:tr>
        <w:trPr>
          <w:trHeight w:val="1881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</w:rPr>
              <w:t>Samochód marki Peugeot Partner, rok produkcji 2006, numer rejestracyjny GCH 85097, numer VIN VF3GJ9HWC95226696,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</w:rPr>
              <w:t>Nie jest wymagane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Cs/>
          <w:sz w:val="24"/>
          <w:szCs w:val="24"/>
        </w:rPr>
        <w:t xml:space="preserve">Ruchomości można oglądać 6 maja 2026 roku od godz. 8:30 do godz. 9:00  </w:t>
      </w:r>
      <w:r>
        <w:rPr>
          <w:rStyle w:val="Nagwek2Znak"/>
          <w:rFonts w:ascii="Lato" w:hAnsi="Lato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/>
          <w:bCs/>
          <w:color w:val="000000"/>
          <w:sz w:val="24"/>
          <w:szCs w:val="24"/>
        </w:rPr>
        <w:t xml:space="preserve">Sprzedaż </w:t>
      </w:r>
      <w:r>
        <w:rPr>
          <w:rFonts w:ascii="Lato" w:hAnsi="Lato"/>
          <w:b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/>
          <w:bCs/>
          <w:color w:val="000000"/>
          <w:sz w:val="24"/>
          <w:szCs w:val="24"/>
        </w:rPr>
        <w:t xml:space="preserve">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szCs w:val="24"/>
        </w:rPr>
        <w:t>Naczelnik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>Michał Szwedek</w:t>
      </w:r>
      <w:r>
        <w:rPr>
          <w:rFonts w:eastAsia="Courier New" w:cs="Courier New"/>
          <w:color w:val="00000A"/>
          <w:szCs w:val="24"/>
        </w:rPr>
        <w:t xml:space="preserve">            </w:t>
      </w:r>
    </w:p>
    <w:p>
      <w:pPr>
        <w:pStyle w:val="Normal"/>
        <w:rPr/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/>
        <w:t xml:space="preserve"> 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LibreOffice/25.2.3.2$Windows_X86_64 LibreOffice_project/bbb074479178df812d175f709636b368952c2ce3</Application>
  <AppVersion>15.0000</AppVersion>
  <Pages>2</Pages>
  <Words>465</Words>
  <Characters>3095</Characters>
  <CharactersWithSpaces>4241</CharactersWithSpaces>
  <Paragraphs>62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2026-04-29T08:56:35Z</dcterms:modified>
  <cp:revision>53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