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05F7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654A94A9" wp14:editId="7935F84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E04A74C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3931542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0CA34831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6F1530A7" w14:textId="583848CE" w:rsidR="00E57201" w:rsidRPr="000A4942" w:rsidRDefault="00000000" w:rsidP="00F61CA6">
      <w:pPr>
        <w:pStyle w:val="Standard"/>
        <w:jc w:val="right"/>
      </w:pPr>
      <w:r>
        <w:pict w14:anchorId="2682A751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A8632E">
        <w:t>29</w:t>
      </w:r>
      <w:r w:rsidR="005402CB">
        <w:t xml:space="preserve"> </w:t>
      </w:r>
      <w:r w:rsidR="008B7B68">
        <w:t>stycznia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1AF860FE" w14:textId="77777777" w:rsidR="008E3036" w:rsidRPr="001436FC" w:rsidRDefault="008E3036" w:rsidP="001436FC">
      <w:pPr>
        <w:pStyle w:val="TytupismaKAS"/>
        <w:spacing w:line="240" w:lineRule="auto"/>
        <w:rPr>
          <w:color w:val="C00000"/>
          <w:sz w:val="16"/>
          <w:szCs w:val="16"/>
        </w:rPr>
      </w:pPr>
    </w:p>
    <w:p w14:paraId="45ADC086" w14:textId="77777777" w:rsidR="001707DC" w:rsidRPr="00F61CA6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35BF9CC3" w14:textId="77777777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6B4F8D">
        <w:rPr>
          <w:rFonts w:cstheme="minorHAnsi"/>
          <w:bCs/>
        </w:rPr>
        <w:t>ych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8B7B68">
        <w:rPr>
          <w:rFonts w:cstheme="minorHAnsi"/>
          <w:bCs/>
        </w:rPr>
        <w:t xml:space="preserve">zobowiązanego Pana </w:t>
      </w:r>
      <w:r w:rsidR="004D1C5A">
        <w:rPr>
          <w:rFonts w:cstheme="minorHAnsi"/>
          <w:bCs/>
        </w:rPr>
        <w:t>Grzegorza Głębockiego</w:t>
      </w:r>
      <w:r w:rsidR="008B7B68">
        <w:rPr>
          <w:rFonts w:cstheme="minorHAnsi"/>
          <w:bCs/>
        </w:rPr>
        <w:t>.</w:t>
      </w:r>
      <w:r w:rsidRPr="000A4942">
        <w:rPr>
          <w:rFonts w:cstheme="minorHAnsi"/>
          <w:bCs/>
        </w:rPr>
        <w:t xml:space="preserve"> </w:t>
      </w:r>
    </w:p>
    <w:p w14:paraId="12EDB4A4" w14:textId="4DD2AF8A" w:rsidR="00196FDD" w:rsidRPr="00882225" w:rsidRDefault="003D5E26" w:rsidP="00882225">
      <w:pPr>
        <w:spacing w:before="240" w:after="240"/>
        <w:rPr>
          <w:rFonts w:cstheme="minorHAnsi"/>
          <w:lang w:val="fr-FR"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A8632E">
        <w:rPr>
          <w:rStyle w:val="Nagwek2Znak"/>
          <w:rFonts w:cstheme="minorHAnsi"/>
          <w:b w:val="0"/>
          <w:color w:val="auto"/>
          <w:sz w:val="22"/>
          <w:szCs w:val="22"/>
        </w:rPr>
        <w:t>11 marca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4D1C5A">
        <w:rPr>
          <w:rFonts w:cstheme="minorHAnsi"/>
          <w:lang w:val="fr-FR"/>
        </w:rPr>
        <w:t>Jana Żupańskiego 2/9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4D1C5A">
        <w:rPr>
          <w:rFonts w:cstheme="minorHAnsi"/>
          <w:lang w:val="fr-FR"/>
        </w:rPr>
        <w:t>1-562 Poznań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4437BC36" w14:textId="2823E13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EC5C7C">
        <w:rPr>
          <w:rFonts w:cstheme="minorHAnsi"/>
          <w:color w:val="C00000"/>
          <w:sz w:val="24"/>
          <w:szCs w:val="24"/>
        </w:rPr>
        <w:t>e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EC5C7C">
        <w:rPr>
          <w:rFonts w:cstheme="minorHAnsi"/>
          <w:color w:val="C00000"/>
          <w:sz w:val="24"/>
          <w:szCs w:val="24"/>
        </w:rPr>
        <w:t>ci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4155"/>
        <w:gridCol w:w="1134"/>
        <w:gridCol w:w="1134"/>
        <w:gridCol w:w="1276"/>
        <w:gridCol w:w="1298"/>
      </w:tblGrid>
      <w:tr w:rsidR="00A55E25" w:rsidRPr="00882225" w14:paraId="0A503719" w14:textId="77777777" w:rsidTr="001436FC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C4C25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E9D5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Określenie ruchomości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414F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Wartość szacunkowa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EA0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Cena wywołania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28A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Wadium – 10% </w:t>
            </w:r>
            <w:r w:rsidR="000A4942" w:rsidRPr="00882225">
              <w:rPr>
                <w:rFonts w:cstheme="minorHAnsi"/>
                <w:b/>
                <w:bCs/>
                <w:sz w:val="18"/>
                <w:szCs w:val="18"/>
              </w:rPr>
              <w:t>wartości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2C8E" w:rsidRPr="00882225">
              <w:rPr>
                <w:rFonts w:cstheme="minorHAnsi"/>
                <w:b/>
                <w:bCs/>
                <w:sz w:val="18"/>
                <w:szCs w:val="18"/>
              </w:rPr>
              <w:t>szacunkowej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FFFC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1E5E32" w:rsidRPr="00882225" w14:paraId="33427BC2" w14:textId="77777777" w:rsidTr="001436FC">
        <w:trPr>
          <w:trHeight w:val="1769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5E77AC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1E72A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 xml:space="preserve">Samochód </w:t>
            </w:r>
            <w:r w:rsidR="00B02B2A">
              <w:rPr>
                <w:rFonts w:cstheme="minorHAnsi"/>
                <w:bCs/>
                <w:sz w:val="18"/>
                <w:szCs w:val="18"/>
              </w:rPr>
              <w:t xml:space="preserve">ciężarowy MAN 10.224 skrzynia, rok produkcji 1996, nr rej. PO176AX, 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pojemność </w:t>
            </w:r>
            <w:r w:rsidR="00B02B2A">
              <w:rPr>
                <w:rFonts w:cstheme="minorHAnsi"/>
                <w:bCs/>
                <w:sz w:val="18"/>
                <w:szCs w:val="18"/>
              </w:rPr>
              <w:t>6871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cm3, moc </w:t>
            </w:r>
            <w:r w:rsidR="00B02B2A">
              <w:rPr>
                <w:rFonts w:cstheme="minorHAnsi"/>
                <w:bCs/>
                <w:sz w:val="18"/>
                <w:szCs w:val="18"/>
              </w:rPr>
              <w:t>162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kW, </w:t>
            </w:r>
            <w:r w:rsidR="00B02B2A">
              <w:rPr>
                <w:rFonts w:cstheme="minorHAnsi"/>
                <w:bCs/>
                <w:sz w:val="18"/>
                <w:szCs w:val="18"/>
              </w:rPr>
              <w:t xml:space="preserve">diesel, 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 przebieg 6</w:t>
            </w:r>
            <w:r w:rsidR="00B02B2A">
              <w:rPr>
                <w:rFonts w:cstheme="minorHAnsi"/>
                <w:bCs/>
                <w:sz w:val="18"/>
                <w:szCs w:val="18"/>
              </w:rPr>
              <w:t>51954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tys. km (na dzień </w:t>
            </w:r>
            <w:r w:rsidR="00B02B2A">
              <w:rPr>
                <w:rFonts w:cstheme="minorHAnsi"/>
                <w:bCs/>
                <w:sz w:val="18"/>
                <w:szCs w:val="18"/>
              </w:rPr>
              <w:t>2</w:t>
            </w:r>
            <w:r w:rsidR="00877668">
              <w:rPr>
                <w:rFonts w:cstheme="minorHAnsi"/>
                <w:bCs/>
                <w:sz w:val="18"/>
                <w:szCs w:val="18"/>
              </w:rPr>
              <w:t>.</w:t>
            </w:r>
            <w:r w:rsidR="00B02B2A">
              <w:rPr>
                <w:rFonts w:cstheme="minorHAnsi"/>
                <w:bCs/>
                <w:sz w:val="18"/>
                <w:szCs w:val="18"/>
              </w:rPr>
              <w:t>12</w:t>
            </w:r>
            <w:r w:rsidR="00877668">
              <w:rPr>
                <w:rFonts w:cstheme="minorHAnsi"/>
                <w:bCs/>
                <w:sz w:val="18"/>
                <w:szCs w:val="18"/>
              </w:rPr>
              <w:t>.202</w:t>
            </w:r>
            <w:r w:rsidR="00B02B2A">
              <w:rPr>
                <w:rFonts w:cstheme="minorHAnsi"/>
                <w:bCs/>
                <w:sz w:val="18"/>
                <w:szCs w:val="18"/>
              </w:rPr>
              <w:t>4</w:t>
            </w:r>
            <w:r w:rsidR="00877668">
              <w:rPr>
                <w:rFonts w:cstheme="minorHAnsi"/>
                <w:bCs/>
                <w:sz w:val="18"/>
                <w:szCs w:val="18"/>
              </w:rPr>
              <w:t xml:space="preserve">r., </w:t>
            </w:r>
            <w:r w:rsidR="00661A83">
              <w:rPr>
                <w:rFonts w:cstheme="minorHAnsi"/>
                <w:bCs/>
                <w:sz w:val="18"/>
                <w:szCs w:val="18"/>
              </w:rPr>
              <w:t xml:space="preserve">badanie techniczne ważne do 1.09.2026r., OC ważne do 14.09.2026r., </w:t>
            </w:r>
            <w:r w:rsidRPr="00882225">
              <w:rPr>
                <w:rFonts w:cstheme="minorHAnsi"/>
                <w:bCs/>
                <w:sz w:val="18"/>
                <w:szCs w:val="18"/>
              </w:rPr>
              <w:t xml:space="preserve">nr VIN: </w:t>
            </w:r>
            <w:r w:rsidR="00877668">
              <w:rPr>
                <w:rFonts w:cstheme="minorHAnsi"/>
                <w:bCs/>
                <w:sz w:val="18"/>
                <w:szCs w:val="18"/>
              </w:rPr>
              <w:t>W</w:t>
            </w:r>
            <w:r w:rsidR="00B02B2A">
              <w:rPr>
                <w:rFonts w:cstheme="minorHAnsi"/>
                <w:bCs/>
                <w:sz w:val="18"/>
                <w:szCs w:val="18"/>
              </w:rPr>
              <w:t>MAL360584G111009</w:t>
            </w:r>
            <w:r w:rsidRPr="00882225">
              <w:rPr>
                <w:rFonts w:cstheme="minorHAnsi"/>
                <w:bCs/>
                <w:sz w:val="18"/>
                <w:szCs w:val="18"/>
              </w:rPr>
              <w:t xml:space="preserve">, data pierwszej rejestracji: </w:t>
            </w:r>
            <w:r w:rsidR="00B02B2A">
              <w:rPr>
                <w:rFonts w:cstheme="minorHAnsi"/>
                <w:bCs/>
                <w:sz w:val="18"/>
                <w:szCs w:val="18"/>
              </w:rPr>
              <w:t>30</w:t>
            </w:r>
            <w:r w:rsidRPr="00882225">
              <w:rPr>
                <w:rFonts w:cstheme="minorHAnsi"/>
                <w:bCs/>
                <w:sz w:val="18"/>
                <w:szCs w:val="18"/>
              </w:rPr>
              <w:t>.</w:t>
            </w:r>
            <w:r w:rsidR="00877668">
              <w:rPr>
                <w:rFonts w:cstheme="minorHAnsi"/>
                <w:bCs/>
                <w:sz w:val="18"/>
                <w:szCs w:val="18"/>
              </w:rPr>
              <w:t>12</w:t>
            </w:r>
            <w:r w:rsidRPr="00882225">
              <w:rPr>
                <w:rFonts w:cstheme="minorHAnsi"/>
                <w:bCs/>
                <w:sz w:val="18"/>
                <w:szCs w:val="18"/>
              </w:rPr>
              <w:t>.</w:t>
            </w:r>
            <w:r w:rsidR="00B02B2A">
              <w:rPr>
                <w:rFonts w:cstheme="minorHAnsi"/>
                <w:bCs/>
                <w:sz w:val="18"/>
                <w:szCs w:val="18"/>
              </w:rPr>
              <w:t>1996</w:t>
            </w:r>
            <w:r w:rsidRPr="00882225">
              <w:rPr>
                <w:rFonts w:cstheme="minorHAnsi"/>
                <w:bCs/>
                <w:sz w:val="18"/>
                <w:szCs w:val="18"/>
              </w:rPr>
              <w:t>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DFC64" w14:textId="77777777" w:rsidR="001E5E32" w:rsidRPr="00882225" w:rsidRDefault="00B02B2A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26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862C5" w14:textId="77777777" w:rsidR="001E5E32" w:rsidRPr="00882225" w:rsidRDefault="004C2A9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19.500,00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1DC43" w14:textId="77777777" w:rsidR="001E5E32" w:rsidRPr="00882225" w:rsidRDefault="004C2A9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2.6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00,00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5BAEC3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82225">
              <w:rPr>
                <w:rFonts w:cstheme="minorHAnsi"/>
                <w:bCs/>
                <w:color w:val="000000" w:themeColor="text1"/>
                <w:sz w:val="18"/>
                <w:szCs w:val="18"/>
              </w:rPr>
              <w:t>Wartość ruchomości określona została przez pracownika  organu egzekucyjnego</w:t>
            </w:r>
          </w:p>
          <w:p w14:paraId="274C4010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2F5496" w:themeColor="accent1" w:themeShade="BF"/>
                <w:sz w:val="18"/>
                <w:szCs w:val="18"/>
              </w:rPr>
            </w:pPr>
          </w:p>
        </w:tc>
      </w:tr>
      <w:tr w:rsidR="004C2A9F" w:rsidRPr="00882225" w14:paraId="671A0F1A" w14:textId="77777777" w:rsidTr="001436FC">
        <w:trPr>
          <w:trHeight w:val="1769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928211" w14:textId="77777777" w:rsidR="004C2A9F" w:rsidRPr="00882225" w:rsidRDefault="004C2A9F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48FAE" w14:textId="77777777" w:rsidR="004C2A9F" w:rsidRPr="00882225" w:rsidRDefault="004C2A9F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Samochód osobowy Volkswagen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Caddy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, kombi, rok produkcji 2018, nr rej. PY15507, pojemność 1968cm3, moc 75kW, diesel, przebieg 129214tys. km (na dzień 2.12.2024r.), </w:t>
            </w:r>
            <w:r w:rsidR="00661A83">
              <w:rPr>
                <w:rFonts w:cstheme="minorHAnsi"/>
                <w:bCs/>
                <w:sz w:val="18"/>
                <w:szCs w:val="18"/>
              </w:rPr>
              <w:t xml:space="preserve">badanie techniczne ważne do 30.07.2026r., OC ważne do 8.11.2026r., </w:t>
            </w:r>
            <w:r>
              <w:rPr>
                <w:rFonts w:cstheme="minorHAnsi"/>
                <w:bCs/>
                <w:sz w:val="18"/>
                <w:szCs w:val="18"/>
              </w:rPr>
              <w:t xml:space="preserve">nr VIN: WV2ZZZ2KZJX109353, data pierwszej rejestracji: 5.04.2018r.,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8E752" w14:textId="77777777" w:rsidR="004C2A9F" w:rsidRDefault="004C2A9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EF7D9" w14:textId="77777777" w:rsidR="004C2A9F" w:rsidRDefault="004C2A9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45.750,00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72F7A" w14:textId="77777777" w:rsidR="004C2A9F" w:rsidRDefault="004C2A9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6.100,00</w:t>
            </w: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52786" w14:textId="77777777" w:rsidR="004C2A9F" w:rsidRPr="00882225" w:rsidRDefault="004C2A9F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1E5E32" w:rsidRPr="00882225" w14:paraId="1B95C8FC" w14:textId="77777777" w:rsidTr="001436FC">
        <w:trPr>
          <w:trHeight w:val="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246F6" w14:textId="77777777" w:rsidR="001E5E32" w:rsidRPr="00882225" w:rsidRDefault="004C2A9F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  <w:r w:rsidR="001E5E32" w:rsidRPr="0088222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9487F" w14:textId="34E0D6A3" w:rsidR="001E5E32" w:rsidRDefault="001E5E32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 xml:space="preserve">Samochód osobowy </w:t>
            </w:r>
            <w:r w:rsidR="00661A83">
              <w:rPr>
                <w:rFonts w:cstheme="minorHAnsi"/>
                <w:bCs/>
                <w:sz w:val="18"/>
                <w:szCs w:val="18"/>
              </w:rPr>
              <w:t xml:space="preserve">Mercedes-Benz A 170, </w:t>
            </w:r>
            <w:proofErr w:type="spellStart"/>
            <w:r w:rsidR="00661A83">
              <w:rPr>
                <w:rFonts w:cstheme="minorHAnsi"/>
                <w:bCs/>
                <w:sz w:val="18"/>
                <w:szCs w:val="18"/>
              </w:rPr>
              <w:t>hatchback</w:t>
            </w:r>
            <w:proofErr w:type="spellEnd"/>
            <w:r w:rsidRPr="00882225">
              <w:rPr>
                <w:rFonts w:cstheme="minorHAnsi"/>
                <w:bCs/>
                <w:sz w:val="18"/>
                <w:szCs w:val="18"/>
              </w:rPr>
              <w:t xml:space="preserve">, 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rok </w:t>
            </w:r>
            <w:r w:rsidR="0071371F">
              <w:rPr>
                <w:rFonts w:cstheme="minorHAnsi"/>
                <w:bCs/>
                <w:sz w:val="18"/>
                <w:szCs w:val="18"/>
              </w:rPr>
              <w:t>produkcji</w:t>
            </w:r>
            <w:r w:rsidR="003D03BE">
              <w:rPr>
                <w:rFonts w:cstheme="minorHAnsi"/>
                <w:bCs/>
                <w:sz w:val="18"/>
                <w:szCs w:val="18"/>
              </w:rPr>
              <w:t>. 20</w:t>
            </w:r>
            <w:r w:rsidR="00661A83">
              <w:rPr>
                <w:rFonts w:cstheme="minorHAnsi"/>
                <w:bCs/>
                <w:sz w:val="18"/>
                <w:szCs w:val="18"/>
              </w:rPr>
              <w:t>01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, nr rej. </w:t>
            </w:r>
            <w:r w:rsidR="00661A83">
              <w:rPr>
                <w:rFonts w:cstheme="minorHAnsi"/>
                <w:bCs/>
                <w:sz w:val="18"/>
                <w:szCs w:val="18"/>
              </w:rPr>
              <w:t>PO3KY18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, pojemność </w:t>
            </w:r>
            <w:r w:rsidR="008E3036">
              <w:rPr>
                <w:rFonts w:cstheme="minorHAnsi"/>
                <w:bCs/>
                <w:sz w:val="18"/>
                <w:szCs w:val="18"/>
              </w:rPr>
              <w:t>1</w:t>
            </w:r>
            <w:r w:rsidR="00661A83">
              <w:rPr>
                <w:rFonts w:cstheme="minorHAnsi"/>
                <w:bCs/>
                <w:sz w:val="18"/>
                <w:szCs w:val="18"/>
              </w:rPr>
              <w:t>689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cm3, moc </w:t>
            </w:r>
            <w:r w:rsidR="008E3036">
              <w:rPr>
                <w:rFonts w:cstheme="minorHAnsi"/>
                <w:bCs/>
                <w:sz w:val="18"/>
                <w:szCs w:val="18"/>
              </w:rPr>
              <w:t>70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kW, </w:t>
            </w:r>
            <w:r w:rsidR="008E3036">
              <w:rPr>
                <w:rFonts w:cstheme="minorHAnsi"/>
                <w:bCs/>
                <w:sz w:val="18"/>
                <w:szCs w:val="18"/>
              </w:rPr>
              <w:t xml:space="preserve">diesel, 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przebieg </w:t>
            </w:r>
            <w:r w:rsidR="00661A83">
              <w:rPr>
                <w:rFonts w:cstheme="minorHAnsi"/>
                <w:bCs/>
                <w:sz w:val="18"/>
                <w:szCs w:val="18"/>
              </w:rPr>
              <w:t>214198</w:t>
            </w:r>
            <w:r w:rsidR="003D03BE">
              <w:rPr>
                <w:rFonts w:cstheme="minorHAnsi"/>
                <w:bCs/>
                <w:sz w:val="18"/>
                <w:szCs w:val="18"/>
              </w:rPr>
              <w:t>tys. km (na dzień 2.</w:t>
            </w:r>
            <w:r w:rsidR="00661A83">
              <w:rPr>
                <w:rFonts w:cstheme="minorHAnsi"/>
                <w:bCs/>
                <w:sz w:val="18"/>
                <w:szCs w:val="18"/>
              </w:rPr>
              <w:t>12</w:t>
            </w:r>
            <w:r w:rsidR="003D03BE">
              <w:rPr>
                <w:rFonts w:cstheme="minorHAnsi"/>
                <w:bCs/>
                <w:sz w:val="18"/>
                <w:szCs w:val="18"/>
              </w:rPr>
              <w:t>.202</w:t>
            </w:r>
            <w:r w:rsidR="00661A83">
              <w:rPr>
                <w:rFonts w:cstheme="minorHAnsi"/>
                <w:bCs/>
                <w:sz w:val="18"/>
                <w:szCs w:val="18"/>
              </w:rPr>
              <w:t>4</w:t>
            </w:r>
            <w:r w:rsidR="003D03BE">
              <w:rPr>
                <w:rFonts w:cstheme="minorHAnsi"/>
                <w:bCs/>
                <w:sz w:val="18"/>
                <w:szCs w:val="18"/>
              </w:rPr>
              <w:t>r.,</w:t>
            </w:r>
            <w:r w:rsidR="00661A83">
              <w:rPr>
                <w:rFonts w:cstheme="minorHAnsi"/>
                <w:bCs/>
                <w:sz w:val="18"/>
                <w:szCs w:val="18"/>
              </w:rPr>
              <w:t xml:space="preserve"> badanie techniczne ważne do 30.07.2026r., OC ważne do </w:t>
            </w:r>
            <w:r w:rsidR="001436FC">
              <w:rPr>
                <w:rFonts w:cstheme="minorHAnsi"/>
                <w:bCs/>
                <w:sz w:val="18"/>
                <w:szCs w:val="18"/>
              </w:rPr>
              <w:t>11</w:t>
            </w:r>
            <w:r w:rsidR="00661A83">
              <w:rPr>
                <w:rFonts w:cstheme="minorHAnsi"/>
                <w:bCs/>
                <w:sz w:val="18"/>
                <w:szCs w:val="18"/>
              </w:rPr>
              <w:t>.0</w:t>
            </w:r>
            <w:r w:rsidR="001436FC">
              <w:rPr>
                <w:rFonts w:cstheme="minorHAnsi"/>
                <w:bCs/>
                <w:sz w:val="18"/>
                <w:szCs w:val="18"/>
              </w:rPr>
              <w:t>6</w:t>
            </w:r>
            <w:r w:rsidR="00661A83">
              <w:rPr>
                <w:rFonts w:cstheme="minorHAnsi"/>
                <w:bCs/>
                <w:sz w:val="18"/>
                <w:szCs w:val="18"/>
              </w:rPr>
              <w:t xml:space="preserve">.2026r., </w:t>
            </w:r>
            <w:r w:rsidR="003D03B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D03BE" w:rsidRPr="00882225">
              <w:rPr>
                <w:rFonts w:cstheme="minorHAnsi"/>
                <w:bCs/>
                <w:sz w:val="18"/>
                <w:szCs w:val="18"/>
              </w:rPr>
              <w:t>nr VIN:</w:t>
            </w:r>
            <w:r w:rsidR="008E3036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61A83">
              <w:rPr>
                <w:rFonts w:cstheme="minorHAnsi"/>
                <w:bCs/>
                <w:sz w:val="18"/>
                <w:szCs w:val="18"/>
              </w:rPr>
              <w:t>WDB1681091J618095</w:t>
            </w:r>
            <w:r w:rsidR="003D03BE" w:rsidRPr="00882225">
              <w:rPr>
                <w:rFonts w:cstheme="minorHAnsi"/>
                <w:bCs/>
                <w:sz w:val="18"/>
                <w:szCs w:val="18"/>
              </w:rPr>
              <w:t xml:space="preserve">, data pierwszej rejestracji: </w:t>
            </w:r>
            <w:r w:rsidR="00661A83">
              <w:rPr>
                <w:rFonts w:cstheme="minorHAnsi"/>
                <w:bCs/>
                <w:sz w:val="18"/>
                <w:szCs w:val="18"/>
              </w:rPr>
              <w:t>8</w:t>
            </w:r>
            <w:r w:rsidR="003D03BE" w:rsidRPr="00882225">
              <w:rPr>
                <w:rFonts w:cstheme="minorHAnsi"/>
                <w:bCs/>
                <w:sz w:val="18"/>
                <w:szCs w:val="18"/>
              </w:rPr>
              <w:t>.</w:t>
            </w:r>
            <w:r w:rsidR="008E3036">
              <w:rPr>
                <w:rFonts w:cstheme="minorHAnsi"/>
                <w:bCs/>
                <w:sz w:val="18"/>
                <w:szCs w:val="18"/>
              </w:rPr>
              <w:t>0</w:t>
            </w:r>
            <w:r w:rsidR="00661A83">
              <w:rPr>
                <w:rFonts w:cstheme="minorHAnsi"/>
                <w:bCs/>
                <w:sz w:val="18"/>
                <w:szCs w:val="18"/>
              </w:rPr>
              <w:t>6</w:t>
            </w:r>
            <w:r w:rsidR="003D03BE" w:rsidRPr="00882225">
              <w:rPr>
                <w:rFonts w:cstheme="minorHAnsi"/>
                <w:bCs/>
                <w:sz w:val="18"/>
                <w:szCs w:val="18"/>
              </w:rPr>
              <w:t>.20</w:t>
            </w:r>
            <w:r w:rsidR="00661A83">
              <w:rPr>
                <w:rFonts w:cstheme="minorHAnsi"/>
                <w:bCs/>
                <w:sz w:val="18"/>
                <w:szCs w:val="18"/>
              </w:rPr>
              <w:t>01</w:t>
            </w:r>
            <w:r w:rsidR="003D03BE" w:rsidRPr="00882225">
              <w:rPr>
                <w:rFonts w:cstheme="minorHAnsi"/>
                <w:bCs/>
                <w:sz w:val="18"/>
                <w:szCs w:val="18"/>
              </w:rPr>
              <w:t>r.</w:t>
            </w:r>
          </w:p>
          <w:p w14:paraId="37CF172A" w14:textId="77777777" w:rsidR="003D03BE" w:rsidRPr="00882225" w:rsidRDefault="003D03BE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876BC" w14:textId="77777777" w:rsidR="001E5E32" w:rsidRPr="00882225" w:rsidRDefault="00661A83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FC0EC" w14:textId="77777777" w:rsidR="001E5E32" w:rsidRPr="00882225" w:rsidRDefault="00661A83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8E12B" w14:textId="77777777" w:rsidR="001E5E32" w:rsidRPr="00882225" w:rsidRDefault="001E5E32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82225">
              <w:rPr>
                <w:rFonts w:cstheme="minorHAnsi"/>
                <w:bCs/>
                <w:sz w:val="18"/>
                <w:szCs w:val="18"/>
              </w:rPr>
              <w:t xml:space="preserve">Wadium </w:t>
            </w:r>
            <w:r w:rsidR="001436FC">
              <w:rPr>
                <w:rFonts w:cstheme="minorHAnsi"/>
                <w:bCs/>
                <w:sz w:val="18"/>
                <w:szCs w:val="18"/>
              </w:rPr>
              <w:br/>
            </w:r>
            <w:r w:rsidRPr="00882225">
              <w:rPr>
                <w:rFonts w:cstheme="minorHAnsi"/>
                <w:bCs/>
                <w:sz w:val="18"/>
                <w:szCs w:val="18"/>
              </w:rPr>
              <w:t>nie jest wymagane</w:t>
            </w: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31ABE" w14:textId="77777777" w:rsidR="001E5E32" w:rsidRPr="00882225" w:rsidRDefault="001E5E32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C4C3CD8" w14:textId="77777777" w:rsidR="00E57201" w:rsidRPr="001436FC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6"/>
          <w:szCs w:val="6"/>
        </w:rPr>
      </w:pPr>
    </w:p>
    <w:p w14:paraId="73C70761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3572F712" w14:textId="77777777" w:rsidR="007A109E" w:rsidRPr="000A4942" w:rsidRDefault="007A109E" w:rsidP="00825399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pojaz</w:t>
      </w:r>
      <w:r w:rsidR="008B7B68">
        <w:rPr>
          <w:rFonts w:cstheme="minorHAnsi"/>
          <w:bCs/>
        </w:rPr>
        <w:t>d</w:t>
      </w:r>
      <w:r w:rsidR="001436FC">
        <w:rPr>
          <w:rFonts w:cstheme="minorHAnsi"/>
          <w:bCs/>
        </w:rPr>
        <w:t>ów</w:t>
      </w:r>
      <w:r w:rsidR="005E1B79">
        <w:rPr>
          <w:rFonts w:cstheme="minorHAnsi"/>
          <w:bCs/>
        </w:rPr>
        <w:t xml:space="preserve"> wskazan</w:t>
      </w:r>
      <w:r w:rsidR="001436FC">
        <w:rPr>
          <w:rFonts w:cstheme="minorHAnsi"/>
          <w:bCs/>
        </w:rPr>
        <w:t>ych</w:t>
      </w:r>
      <w:r w:rsidR="005E1B79">
        <w:rPr>
          <w:rFonts w:cstheme="minorHAnsi"/>
          <w:bCs/>
        </w:rPr>
        <w:t xml:space="preserve"> w poz. 1</w:t>
      </w:r>
      <w:r w:rsidR="001436FC">
        <w:rPr>
          <w:rFonts w:cstheme="minorHAnsi"/>
          <w:bCs/>
        </w:rPr>
        <w:t xml:space="preserve"> i 2</w:t>
      </w:r>
      <w:r w:rsidR="008B7B68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</w:p>
    <w:p w14:paraId="167D377F" w14:textId="77777777" w:rsidR="001707DC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</w:p>
    <w:p w14:paraId="7B062D31" w14:textId="68CCB173" w:rsidR="00A8632E" w:rsidRPr="00A8632E" w:rsidRDefault="00A8632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A8632E">
        <w:rPr>
          <w:rFonts w:cstheme="minorHAnsi"/>
          <w:bCs/>
        </w:rPr>
        <w:t xml:space="preserve">Ponadto wadium dotyczące pojazdu wskazanego w poz. 1 </w:t>
      </w:r>
      <w:r>
        <w:rPr>
          <w:rFonts w:cstheme="minorHAnsi"/>
          <w:bCs/>
        </w:rPr>
        <w:t xml:space="preserve">można złożyć w gotówce pracownikowi obsługującemu organ egzekucyjny nie później niż na godzinę przed terminem licytacji. </w:t>
      </w:r>
    </w:p>
    <w:p w14:paraId="5CC6C153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</w:t>
      </w:r>
    </w:p>
    <w:p w14:paraId="4FF38436" w14:textId="77777777" w:rsidR="00825399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lastRenderedPageBreak/>
        <w:t xml:space="preserve">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4C23FD82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1BC141AA" w14:textId="30970402" w:rsidR="007A109E" w:rsidRPr="000A4942" w:rsidRDefault="007A109E" w:rsidP="008B7B68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Pozostałym licytantom</w:t>
      </w:r>
      <w:r w:rsidR="00A8632E">
        <w:rPr>
          <w:rFonts w:cstheme="minorHAnsi"/>
          <w:bCs/>
        </w:rPr>
        <w:t xml:space="preserve"> wadium wpłacone na rachunek bankowy </w:t>
      </w:r>
      <w:r w:rsidRPr="000A4942">
        <w:rPr>
          <w:rFonts w:cstheme="minorHAnsi"/>
          <w:bCs/>
        </w:rPr>
        <w:t xml:space="preserve">zwrócę </w:t>
      </w:r>
      <w:r w:rsidR="00A8632E">
        <w:rPr>
          <w:rFonts w:cstheme="minorHAnsi"/>
          <w:bCs/>
        </w:rPr>
        <w:t>n</w:t>
      </w:r>
      <w:r w:rsidRPr="000A4942">
        <w:rPr>
          <w:rFonts w:cstheme="minorHAnsi"/>
          <w:bCs/>
        </w:rPr>
        <w:t xml:space="preserve">ie później niż w terminie </w:t>
      </w:r>
      <w:r w:rsidR="0071371F">
        <w:rPr>
          <w:rFonts w:cstheme="minorHAnsi"/>
          <w:bCs/>
        </w:rPr>
        <w:br/>
      </w:r>
      <w:r w:rsidRPr="000A4942">
        <w:rPr>
          <w:rFonts w:cstheme="minorHAnsi"/>
          <w:bCs/>
        </w:rPr>
        <w:t>7 dni roboczych od dnia licytacji</w:t>
      </w:r>
      <w:r w:rsidR="00A8632E">
        <w:rPr>
          <w:rFonts w:cstheme="minorHAnsi"/>
          <w:bCs/>
        </w:rPr>
        <w:t>, natomiast wadium wpłacone w gotówce</w:t>
      </w:r>
      <w:r w:rsidR="00EC5C7C">
        <w:rPr>
          <w:rFonts w:cstheme="minorHAnsi"/>
          <w:bCs/>
        </w:rPr>
        <w:t xml:space="preserve"> zwrócę</w:t>
      </w:r>
      <w:r w:rsidR="00A8632E">
        <w:rPr>
          <w:rFonts w:cstheme="minorHAnsi"/>
          <w:bCs/>
        </w:rPr>
        <w:t xml:space="preserve"> </w:t>
      </w:r>
      <w:r w:rsidR="00EC5C7C">
        <w:rPr>
          <w:rFonts w:cstheme="minorHAnsi"/>
          <w:bCs/>
        </w:rPr>
        <w:t>niezwłocznie.</w:t>
      </w:r>
    </w:p>
    <w:p w14:paraId="6000DDA3" w14:textId="77777777" w:rsidR="008E3036" w:rsidRPr="001436FC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6"/>
          <w:szCs w:val="6"/>
        </w:rPr>
      </w:pPr>
    </w:p>
    <w:p w14:paraId="1C43AFFA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6BC2C3AA" w14:textId="6E496200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69076B">
        <w:rPr>
          <w:rFonts w:cstheme="minorHAnsi"/>
          <w:bCs/>
        </w:rPr>
        <w:t>ci</w:t>
      </w:r>
      <w:r w:rsidRPr="000A4942">
        <w:rPr>
          <w:rFonts w:cstheme="minorHAnsi"/>
          <w:bCs/>
        </w:rPr>
        <w:t xml:space="preserve"> można oglądać przed licytacją, tj.</w:t>
      </w:r>
      <w:r w:rsidR="00EC5C7C">
        <w:rPr>
          <w:rFonts w:cstheme="minorHAnsi"/>
          <w:bCs/>
        </w:rPr>
        <w:t xml:space="preserve"> 11 marca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EC5C7C">
        <w:rPr>
          <w:rFonts w:cstheme="minorHAnsi"/>
          <w:bCs/>
        </w:rPr>
        <w:t>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EC5C7C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1436FC">
        <w:rPr>
          <w:rFonts w:cstheme="minorHAnsi"/>
          <w:bCs/>
        </w:rPr>
        <w:t>Poznań</w:t>
      </w:r>
      <w:r w:rsidRPr="000A4942">
        <w:rPr>
          <w:rFonts w:cstheme="minorHAnsi"/>
          <w:bCs/>
        </w:rPr>
        <w:t xml:space="preserve">, ul. </w:t>
      </w:r>
      <w:r w:rsidR="001436FC">
        <w:rPr>
          <w:rFonts w:cstheme="minorHAnsi"/>
          <w:bCs/>
        </w:rPr>
        <w:t>Jana Żupańskiego 2/9.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29D9334A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0C917255" w14:textId="77777777" w:rsidR="005E1B79" w:rsidRPr="000A4942" w:rsidRDefault="005E1B79" w:rsidP="001707DC">
      <w:pPr>
        <w:pStyle w:val="Standard"/>
        <w:spacing w:before="12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Dokumentem </w:t>
      </w:r>
      <w:r w:rsidR="00882225">
        <w:rPr>
          <w:rFonts w:cstheme="minorHAnsi"/>
          <w:bCs/>
        </w:rPr>
        <w:t>potwierdzającym</w:t>
      </w:r>
      <w:r>
        <w:rPr>
          <w:rFonts w:cstheme="minorHAnsi"/>
          <w:bCs/>
        </w:rPr>
        <w:t xml:space="preserve"> </w:t>
      </w:r>
      <w:r w:rsidR="00882225">
        <w:rPr>
          <w:rFonts w:cstheme="minorHAnsi"/>
          <w:bCs/>
        </w:rPr>
        <w:t>zakup</w:t>
      </w:r>
      <w:r>
        <w:rPr>
          <w:rFonts w:cstheme="minorHAnsi"/>
          <w:bCs/>
        </w:rPr>
        <w:t xml:space="preserve"> </w:t>
      </w:r>
      <w:r w:rsidR="001436FC">
        <w:rPr>
          <w:rFonts w:cstheme="minorHAnsi"/>
          <w:bCs/>
        </w:rPr>
        <w:t xml:space="preserve">każdego z pojazdów </w:t>
      </w:r>
      <w:r w:rsidR="00882225">
        <w:rPr>
          <w:rFonts w:cstheme="minorHAnsi"/>
          <w:bCs/>
        </w:rPr>
        <w:t xml:space="preserve">będzie postanowienie stwierdzające jego nabycie. </w:t>
      </w:r>
      <w:r>
        <w:rPr>
          <w:rFonts w:cstheme="minorHAnsi"/>
          <w:bCs/>
        </w:rPr>
        <w:t xml:space="preserve"> </w:t>
      </w:r>
    </w:p>
    <w:p w14:paraId="42DBCF31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05A85A01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26918B9E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8A5E92B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7D599B13" wp14:editId="719F212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4FEED603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1894FE32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00C711A9" wp14:editId="6FFD410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26E8741F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3EBB8654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3B1D1FC7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6758F845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5B396D3F" w14:textId="725BCEBB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882225">
        <w:rPr>
          <w:sz w:val="22"/>
          <w:szCs w:val="22"/>
          <w:lang w:eastAsia="pl-PL"/>
        </w:rPr>
        <w:t>5</w:t>
      </w:r>
      <w:r w:rsidRPr="000A4942">
        <w:rPr>
          <w:sz w:val="22"/>
          <w:szCs w:val="22"/>
          <w:lang w:eastAsia="pl-PL"/>
        </w:rPr>
        <w:t xml:space="preserve"> r. poz. </w:t>
      </w:r>
      <w:r w:rsidR="00882225">
        <w:rPr>
          <w:sz w:val="22"/>
          <w:szCs w:val="22"/>
          <w:lang w:eastAsia="pl-PL"/>
        </w:rPr>
        <w:t>132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1920B001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160CDA7A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0626321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025B956A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0E7FB1D1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53D55C2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3B3CD148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</w:t>
      </w:r>
      <w:proofErr w:type="spellStart"/>
      <w:r w:rsidRPr="000A4942">
        <w:rPr>
          <w:rFonts w:eastAsia="Tahoma" w:cstheme="minorHAnsi"/>
          <w:lang w:eastAsia="pl-PL"/>
        </w:rPr>
        <w:t>Stężycki</w:t>
      </w:r>
      <w:proofErr w:type="spellEnd"/>
      <w:r w:rsidRPr="000A4942">
        <w:rPr>
          <w:rFonts w:eastAsia="Tahoma" w:cstheme="minorHAnsi"/>
          <w:lang w:eastAsia="pl-PL"/>
        </w:rPr>
        <w:t xml:space="preserve"> </w:t>
      </w:r>
    </w:p>
    <w:p w14:paraId="273588D4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4BCF0668" w14:textId="77777777" w:rsidR="00882225" w:rsidRPr="001436FC" w:rsidRDefault="00882225" w:rsidP="001436FC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60359201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022F227C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284A" w14:textId="77777777" w:rsidR="005D3BCE" w:rsidRDefault="005D3BCE" w:rsidP="008B330D">
      <w:pPr>
        <w:spacing w:after="0" w:line="240" w:lineRule="auto"/>
      </w:pPr>
      <w:r>
        <w:separator/>
      </w:r>
    </w:p>
  </w:endnote>
  <w:endnote w:type="continuationSeparator" w:id="0">
    <w:p w14:paraId="4356283D" w14:textId="77777777" w:rsidR="005D3BCE" w:rsidRDefault="005D3BCE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8C1E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29E3DDEB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2B9DE00F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2A972C5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FA7E" w14:textId="77777777" w:rsidR="008B330D" w:rsidRDefault="00000000">
    <w:pPr>
      <w:pStyle w:val="StopkaKAS"/>
      <w:rPr>
        <w:rFonts w:cs="Calibri"/>
        <w:lang w:val="en-US"/>
      </w:rPr>
    </w:pPr>
    <w:r>
      <w:pict w14:anchorId="25C53F04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61B86D7C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7B4D2867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B0F38A0" wp14:editId="31FC002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1A4E8419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6E31" w14:textId="77777777" w:rsidR="005D3BCE" w:rsidRDefault="005D3BCE" w:rsidP="008B330D">
      <w:pPr>
        <w:spacing w:after="0" w:line="240" w:lineRule="auto"/>
      </w:pPr>
      <w:r>
        <w:separator/>
      </w:r>
    </w:p>
  </w:footnote>
  <w:footnote w:type="continuationSeparator" w:id="0">
    <w:p w14:paraId="721734FA" w14:textId="77777777" w:rsidR="005D3BCE" w:rsidRDefault="005D3BCE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F09D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9872543">
    <w:abstractNumId w:val="3"/>
  </w:num>
  <w:num w:numId="2" w16cid:durableId="2063862274">
    <w:abstractNumId w:val="1"/>
  </w:num>
  <w:num w:numId="3" w16cid:durableId="1324549745">
    <w:abstractNumId w:val="5"/>
  </w:num>
  <w:num w:numId="4" w16cid:durableId="206651349">
    <w:abstractNumId w:val="2"/>
  </w:num>
  <w:num w:numId="5" w16cid:durableId="942766598">
    <w:abstractNumId w:val="4"/>
  </w:num>
  <w:num w:numId="6" w16cid:durableId="74137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C1CCD"/>
    <w:rsid w:val="00107295"/>
    <w:rsid w:val="00116433"/>
    <w:rsid w:val="001217EC"/>
    <w:rsid w:val="00126FA2"/>
    <w:rsid w:val="001436FC"/>
    <w:rsid w:val="001661EE"/>
    <w:rsid w:val="001707DC"/>
    <w:rsid w:val="00196FDD"/>
    <w:rsid w:val="001B1635"/>
    <w:rsid w:val="001B594A"/>
    <w:rsid w:val="001C3E72"/>
    <w:rsid w:val="001E5E32"/>
    <w:rsid w:val="001F1FA9"/>
    <w:rsid w:val="00237DBD"/>
    <w:rsid w:val="00241C07"/>
    <w:rsid w:val="0024257D"/>
    <w:rsid w:val="00264618"/>
    <w:rsid w:val="0026540A"/>
    <w:rsid w:val="00281F70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9709C"/>
    <w:rsid w:val="003D03BE"/>
    <w:rsid w:val="003D5E26"/>
    <w:rsid w:val="003F2297"/>
    <w:rsid w:val="003F6884"/>
    <w:rsid w:val="004417B0"/>
    <w:rsid w:val="00462010"/>
    <w:rsid w:val="00464031"/>
    <w:rsid w:val="0049005A"/>
    <w:rsid w:val="004C2A9F"/>
    <w:rsid w:val="004D1C5A"/>
    <w:rsid w:val="004E717F"/>
    <w:rsid w:val="004F66AE"/>
    <w:rsid w:val="005402CB"/>
    <w:rsid w:val="00541A55"/>
    <w:rsid w:val="005461F8"/>
    <w:rsid w:val="00557E09"/>
    <w:rsid w:val="00563552"/>
    <w:rsid w:val="005A4054"/>
    <w:rsid w:val="005B69F9"/>
    <w:rsid w:val="005C3F14"/>
    <w:rsid w:val="005D040F"/>
    <w:rsid w:val="005D3BCE"/>
    <w:rsid w:val="005E1B79"/>
    <w:rsid w:val="005E4C23"/>
    <w:rsid w:val="005F0E07"/>
    <w:rsid w:val="00612186"/>
    <w:rsid w:val="00622C8E"/>
    <w:rsid w:val="00661A83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371F"/>
    <w:rsid w:val="0071655D"/>
    <w:rsid w:val="0076053A"/>
    <w:rsid w:val="00772D45"/>
    <w:rsid w:val="007A109E"/>
    <w:rsid w:val="007A65B5"/>
    <w:rsid w:val="007C0E5D"/>
    <w:rsid w:val="007D7EE6"/>
    <w:rsid w:val="007F164A"/>
    <w:rsid w:val="007F5D8A"/>
    <w:rsid w:val="00825399"/>
    <w:rsid w:val="00842496"/>
    <w:rsid w:val="008606A8"/>
    <w:rsid w:val="008724E8"/>
    <w:rsid w:val="00877668"/>
    <w:rsid w:val="00882225"/>
    <w:rsid w:val="008A0012"/>
    <w:rsid w:val="008B330D"/>
    <w:rsid w:val="008B7B68"/>
    <w:rsid w:val="008C16AB"/>
    <w:rsid w:val="008C18C4"/>
    <w:rsid w:val="008E3036"/>
    <w:rsid w:val="00913F10"/>
    <w:rsid w:val="00924E5B"/>
    <w:rsid w:val="00933A40"/>
    <w:rsid w:val="0094531C"/>
    <w:rsid w:val="00946EC5"/>
    <w:rsid w:val="009602BB"/>
    <w:rsid w:val="00977B14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8632E"/>
    <w:rsid w:val="00A90379"/>
    <w:rsid w:val="00AD3661"/>
    <w:rsid w:val="00AE4CA8"/>
    <w:rsid w:val="00B02B2A"/>
    <w:rsid w:val="00B06CE2"/>
    <w:rsid w:val="00B07A87"/>
    <w:rsid w:val="00B17C6A"/>
    <w:rsid w:val="00B515BA"/>
    <w:rsid w:val="00B51C07"/>
    <w:rsid w:val="00B82931"/>
    <w:rsid w:val="00B943B3"/>
    <w:rsid w:val="00B97421"/>
    <w:rsid w:val="00BA2970"/>
    <w:rsid w:val="00BB67F8"/>
    <w:rsid w:val="00BC65F2"/>
    <w:rsid w:val="00C07FC6"/>
    <w:rsid w:val="00C4743A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C5C7C"/>
    <w:rsid w:val="00ED0744"/>
    <w:rsid w:val="00F0634F"/>
    <w:rsid w:val="00F22427"/>
    <w:rsid w:val="00F509D0"/>
    <w:rsid w:val="00F61CA6"/>
    <w:rsid w:val="00F62CEE"/>
    <w:rsid w:val="00F75D9A"/>
    <w:rsid w:val="00F91148"/>
    <w:rsid w:val="00FA5948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F1322B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106</cp:revision>
  <cp:lastPrinted>2024-01-16T08:34:00Z</cp:lastPrinted>
  <dcterms:created xsi:type="dcterms:W3CDTF">2023-03-31T09:11:00Z</dcterms:created>
  <dcterms:modified xsi:type="dcterms:W3CDTF">2026-01-29T08:03:00Z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