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4D637BB4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C27F6D">
        <w:rPr>
          <w:rFonts w:cstheme="minorHAnsi"/>
          <w:sz w:val="24"/>
          <w:szCs w:val="24"/>
        </w:rPr>
        <w:t>26 lutego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0CE0C96F" w14:textId="77777777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55A997D6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C27F6D" w:rsidRPr="00DC7420">
        <w:rPr>
          <w:rFonts w:cstheme="minorHAnsi"/>
          <w:bCs/>
          <w:sz w:val="24"/>
          <w:szCs w:val="24"/>
        </w:rPr>
        <w:t xml:space="preserve"> </w:t>
      </w:r>
      <w:r w:rsidR="00C27F6D">
        <w:rPr>
          <w:rFonts w:cstheme="minorHAnsi"/>
          <w:bCs/>
          <w:sz w:val="24"/>
          <w:szCs w:val="24"/>
        </w:rPr>
        <w:t>28 sierpnia 2025</w:t>
      </w:r>
      <w:r w:rsidR="00C27F6D" w:rsidRPr="00DC7420">
        <w:rPr>
          <w:rFonts w:cstheme="minorHAnsi"/>
          <w:bCs/>
          <w:sz w:val="24"/>
          <w:szCs w:val="24"/>
        </w:rPr>
        <w:t xml:space="preserve"> r. sygn. akt</w:t>
      </w:r>
      <w:r w:rsidR="00C27F6D">
        <w:rPr>
          <w:rFonts w:cstheme="minorHAnsi"/>
          <w:bCs/>
          <w:sz w:val="24"/>
          <w:szCs w:val="24"/>
        </w:rPr>
        <w:t xml:space="preserve"> II</w:t>
      </w:r>
      <w:r w:rsidR="00C27F6D" w:rsidRPr="00DC7420">
        <w:rPr>
          <w:rFonts w:cstheme="minorHAnsi"/>
          <w:bCs/>
          <w:sz w:val="24"/>
          <w:szCs w:val="24"/>
        </w:rPr>
        <w:t xml:space="preserve"> K </w:t>
      </w:r>
      <w:r w:rsidR="00C27F6D">
        <w:rPr>
          <w:rFonts w:cstheme="minorHAnsi"/>
          <w:bCs/>
          <w:sz w:val="24"/>
          <w:szCs w:val="24"/>
        </w:rPr>
        <w:t>541</w:t>
      </w:r>
      <w:r w:rsidR="00C27F6D" w:rsidRPr="00DC7420">
        <w:rPr>
          <w:rFonts w:cstheme="minorHAnsi"/>
          <w:bCs/>
          <w:sz w:val="24"/>
          <w:szCs w:val="24"/>
        </w:rPr>
        <w:t>/2</w:t>
      </w:r>
      <w:r w:rsidR="00C27F6D">
        <w:rPr>
          <w:rFonts w:cstheme="minorHAnsi"/>
          <w:bCs/>
          <w:sz w:val="24"/>
          <w:szCs w:val="24"/>
        </w:rPr>
        <w:t>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14:paraId="5717DEDC" w14:textId="0A551548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30</w:t>
      </w:r>
    </w:p>
    <w:p w14:paraId="1F787E2B" w14:textId="77777777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bCs/>
          <w:sz w:val="24"/>
          <w:szCs w:val="24"/>
        </w:rPr>
        <w:t>siedziba Pomocy Drogowej WIK-HOL</w:t>
      </w:r>
      <w:r w:rsidRPr="002A42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ul. Rzemieślnicza 1, 64-500 Szamotuły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0CE786BF" w:rsidR="00C27F6D" w:rsidRDefault="00C27F6D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motorower</w:t>
            </w:r>
          </w:p>
          <w:p w14:paraId="60A612BC" w14:textId="72EA93CE" w:rsidR="000F29BD" w:rsidRPr="00FE551C" w:rsidRDefault="00C27F6D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C27F6D">
              <w:rPr>
                <w:rFonts w:ascii="Calibri" w:hAnsi="Calibri" w:cs="Calibri"/>
              </w:rPr>
              <w:t>ROMET MOTORS 727 ECO</w:t>
            </w:r>
            <w:r w:rsidR="00F133A3"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49</w:t>
            </w:r>
            <w:r w:rsidR="00F133A3" w:rsidRPr="001A1326">
              <w:rPr>
                <w:rFonts w:ascii="Calibri" w:hAnsi="Calibri" w:cs="Calibri"/>
              </w:rPr>
              <w:t xml:space="preserve"> cm</w:t>
            </w:r>
            <w:r w:rsidR="00F133A3"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 w:rsidR="00F133A3" w:rsidRPr="001A1326">
              <w:rPr>
                <w:rFonts w:ascii="Calibri" w:hAnsi="Calibri" w:cs="Calibri"/>
              </w:rPr>
              <w:t xml:space="preserve">benzyna, </w:t>
            </w:r>
            <w:r>
              <w:rPr>
                <w:rFonts w:ascii="Calibri" w:hAnsi="Calibri" w:cs="Calibri"/>
              </w:rPr>
              <w:t>2</w:t>
            </w:r>
            <w:r w:rsidR="00F133A3" w:rsidRPr="001A1326">
              <w:rPr>
                <w:rFonts w:ascii="Calibri" w:hAnsi="Calibri" w:cs="Calibri"/>
              </w:rPr>
              <w:t xml:space="preserve"> kW, </w:t>
            </w:r>
            <w:r>
              <w:rPr>
                <w:rFonts w:ascii="Calibri" w:hAnsi="Calibri" w:cs="Calibri"/>
              </w:rPr>
              <w:t xml:space="preserve">                                               </w:t>
            </w:r>
            <w:r w:rsidR="00F133A3" w:rsidRPr="001A1326">
              <w:rPr>
                <w:rFonts w:ascii="Calibri" w:hAnsi="Calibri" w:cs="Calibri"/>
              </w:rPr>
              <w:t xml:space="preserve">VIN: </w:t>
            </w:r>
            <w:r w:rsidRPr="00C27F6D">
              <w:rPr>
                <w:rFonts w:ascii="Calibri" w:hAnsi="Calibri" w:cs="Calibri"/>
              </w:rPr>
              <w:t>L8YGY02A7CY059454</w:t>
            </w:r>
            <w:r w:rsidR="009124B1" w:rsidRPr="0095633B">
              <w:rPr>
                <w:rFonts w:ascii="Calibri" w:hAnsi="Calibri" w:cs="Calibri"/>
                <w:szCs w:val="24"/>
              </w:rPr>
              <w:t xml:space="preserve">, </w:t>
            </w:r>
            <w:proofErr w:type="spellStart"/>
            <w:r w:rsidR="000F29BD" w:rsidRPr="0095633B">
              <w:rPr>
                <w:rFonts w:cstheme="minorHAnsi"/>
                <w:bCs/>
                <w:szCs w:val="24"/>
              </w:rPr>
              <w:t>r.prod</w:t>
            </w:r>
            <w:proofErr w:type="spellEnd"/>
            <w:r w:rsidR="000F29BD" w:rsidRPr="0095633B">
              <w:rPr>
                <w:rFonts w:cstheme="minorHAnsi"/>
                <w:bCs/>
                <w:szCs w:val="24"/>
              </w:rPr>
              <w:t xml:space="preserve">. </w:t>
            </w:r>
            <w:r>
              <w:rPr>
                <w:rFonts w:cstheme="minorHAnsi"/>
                <w:bCs/>
                <w:szCs w:val="24"/>
              </w:rPr>
              <w:t>2012</w:t>
            </w:r>
            <w:r w:rsidR="000F29BD" w:rsidRPr="0095633B">
              <w:rPr>
                <w:rFonts w:cstheme="minorHAnsi"/>
                <w:bCs/>
                <w:szCs w:val="24"/>
              </w:rPr>
              <w:t xml:space="preserve">, </w:t>
            </w:r>
            <w:r w:rsidR="002937C4" w:rsidRPr="0095633B">
              <w:rPr>
                <w:rFonts w:cstheme="minorHAnsi"/>
                <w:bCs/>
                <w:szCs w:val="24"/>
              </w:rPr>
              <w:t xml:space="preserve">          </w:t>
            </w:r>
            <w:r w:rsidR="000F29BD" w:rsidRPr="0095633B">
              <w:rPr>
                <w:rFonts w:cstheme="minorHAnsi"/>
                <w:bCs/>
                <w:szCs w:val="24"/>
              </w:rPr>
              <w:t xml:space="preserve">przebieg: </w:t>
            </w:r>
            <w:r>
              <w:rPr>
                <w:rFonts w:ascii="Calibri" w:hAnsi="Calibri" w:cs="Calibri"/>
              </w:rPr>
              <w:t>9</w:t>
            </w:r>
            <w:r w:rsidR="00F133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798</w:t>
            </w:r>
            <w:r w:rsidR="00F133A3" w:rsidRPr="00F14105">
              <w:rPr>
                <w:rFonts w:ascii="Calibri" w:hAnsi="Calibri" w:cs="Calibri"/>
              </w:rPr>
              <w:t xml:space="preserve"> km odczyt </w:t>
            </w:r>
            <w:r w:rsidR="002A4B6F">
              <w:rPr>
                <w:rFonts w:ascii="Calibri" w:hAnsi="Calibri" w:cs="Calibri"/>
              </w:rPr>
              <w:t xml:space="preserve">                              </w:t>
            </w:r>
            <w:r w:rsidR="00F133A3" w:rsidRPr="00F14105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23</w:t>
            </w:r>
            <w:r w:rsidR="00F133A3" w:rsidRPr="00F14105">
              <w:rPr>
                <w:rFonts w:ascii="Calibri" w:hAnsi="Calibri" w:cs="Calibri"/>
              </w:rPr>
              <w:t>.</w:t>
            </w:r>
            <w:r w:rsidR="00F133A3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2</w:t>
            </w:r>
            <w:r w:rsidR="00F133A3" w:rsidRPr="00F14105">
              <w:rPr>
                <w:rFonts w:ascii="Calibri" w:hAnsi="Calibri" w:cs="Calibri"/>
              </w:rPr>
              <w:t>.202</w:t>
            </w:r>
            <w:r w:rsidR="00F133A3">
              <w:rPr>
                <w:rFonts w:ascii="Calibri" w:hAnsi="Calibri" w:cs="Calibri"/>
              </w:rPr>
              <w:t>6</w:t>
            </w:r>
            <w:r w:rsidR="00F133A3" w:rsidRPr="00F14105">
              <w:rPr>
                <w:rFonts w:ascii="Calibri" w:hAnsi="Calibri" w:cs="Calibri"/>
              </w:rPr>
              <w:t xml:space="preserve"> r.</w:t>
            </w:r>
            <w:r>
              <w:rPr>
                <w:rFonts w:ascii="Calibri" w:hAnsi="Calibri" w:cs="Calibri"/>
              </w:rPr>
              <w:t>, brak kluczyków, badanie</w:t>
            </w:r>
            <w:r w:rsidRPr="00C27F6D">
              <w:rPr>
                <w:rFonts w:ascii="Calibri" w:hAnsi="Calibri" w:cs="Calibri"/>
              </w:rPr>
              <w:t xml:space="preserve"> techniczn</w:t>
            </w:r>
            <w:r>
              <w:rPr>
                <w:rFonts w:ascii="Calibri" w:hAnsi="Calibri" w:cs="Calibri"/>
              </w:rPr>
              <w:t>e</w:t>
            </w:r>
            <w:r w:rsidRPr="00C27F6D">
              <w:rPr>
                <w:rFonts w:ascii="Calibri" w:hAnsi="Calibri" w:cs="Calibri"/>
              </w:rPr>
              <w:t xml:space="preserve"> ważn</w:t>
            </w:r>
            <w:r>
              <w:rPr>
                <w:rFonts w:ascii="Calibri" w:hAnsi="Calibri" w:cs="Calibri"/>
              </w:rPr>
              <w:t>e</w:t>
            </w:r>
            <w:r w:rsidRPr="00C27F6D">
              <w:rPr>
                <w:rFonts w:ascii="Calibri" w:hAnsi="Calibri" w:cs="Calibri"/>
              </w:rPr>
              <w:t xml:space="preserve"> do 29 marca 2027 r., polisa OC ważna do 28 listopada 2026 r.</w:t>
            </w:r>
          </w:p>
        </w:tc>
        <w:tc>
          <w:tcPr>
            <w:tcW w:w="1417" w:type="dxa"/>
            <w:vAlign w:val="center"/>
          </w:tcPr>
          <w:p w14:paraId="5E299874" w14:textId="60D76190" w:rsidR="000F29BD" w:rsidRPr="00DB21D3" w:rsidRDefault="00C27F6D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50A9CB75" w:rsidR="000F29BD" w:rsidRPr="00DB21D3" w:rsidRDefault="00C27F6D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108F9787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roku od godz. </w:t>
      </w:r>
      <w:r w:rsidR="00C27F6D">
        <w:rPr>
          <w:rFonts w:cstheme="minorHAnsi"/>
          <w:bCs/>
          <w:sz w:val="24"/>
          <w:szCs w:val="24"/>
        </w:rPr>
        <w:t>9:30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C27F6D">
        <w:rPr>
          <w:rFonts w:cstheme="minorHAnsi"/>
          <w:bCs/>
          <w:sz w:val="24"/>
          <w:szCs w:val="24"/>
        </w:rPr>
        <w:t>9:45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C27F6D">
        <w:rPr>
          <w:rFonts w:cstheme="minorHAnsi"/>
          <w:bCs/>
          <w:sz w:val="24"/>
          <w:szCs w:val="24"/>
        </w:rPr>
        <w:t>w siedzibie</w:t>
      </w:r>
      <w:r w:rsidR="00C27F6D" w:rsidRPr="00F55ADD">
        <w:rPr>
          <w:rFonts w:cstheme="minorHAnsi"/>
          <w:bCs/>
          <w:sz w:val="24"/>
          <w:szCs w:val="24"/>
        </w:rPr>
        <w:t xml:space="preserve"> </w:t>
      </w:r>
      <w:r w:rsidR="00C27F6D">
        <w:rPr>
          <w:rFonts w:cstheme="minorHAnsi"/>
          <w:bCs/>
          <w:sz w:val="24"/>
          <w:szCs w:val="24"/>
        </w:rPr>
        <w:t>Pomocy Drogowej WIK-HOL</w:t>
      </w:r>
      <w:r w:rsidR="00C27F6D" w:rsidRPr="002A42FD">
        <w:rPr>
          <w:rFonts w:cstheme="minorHAnsi"/>
          <w:sz w:val="24"/>
          <w:szCs w:val="24"/>
        </w:rPr>
        <w:t>,</w:t>
      </w:r>
      <w:r w:rsidR="00C27F6D">
        <w:rPr>
          <w:rFonts w:cstheme="minorHAnsi"/>
          <w:sz w:val="24"/>
          <w:szCs w:val="24"/>
        </w:rPr>
        <w:t xml:space="preserve"> ul. Rzemieślnicza 1, 64-500 Szamotuły</w:t>
      </w:r>
      <w:r w:rsidR="00C27F6D" w:rsidRPr="00D82937">
        <w:rPr>
          <w:rFonts w:cstheme="minorHAnsi"/>
          <w:b/>
          <w:bCs/>
          <w:color w:val="C00000"/>
          <w:sz w:val="28"/>
          <w:szCs w:val="28"/>
        </w:rPr>
        <w:t xml:space="preserve"> 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76BB34BE" w14:textId="77777777"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14:paraId="06E3628D" w14:textId="77777777"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9E9C6B9" w14:textId="77777777" w:rsidR="00244AFC" w:rsidRDefault="00244AFC" w:rsidP="00244AFC">
      <w:pPr>
        <w:spacing w:after="0"/>
        <w:ind w:left="2829" w:firstLine="709"/>
        <w:jc w:val="center"/>
      </w:pPr>
      <w:r>
        <w:t>Z up. Naczelnika</w:t>
      </w:r>
    </w:p>
    <w:p w14:paraId="28797A01" w14:textId="77777777" w:rsidR="00244AFC" w:rsidRDefault="00244AFC" w:rsidP="00244AFC">
      <w:pPr>
        <w:spacing w:after="0"/>
        <w:ind w:left="2832" w:firstLine="708"/>
        <w:jc w:val="center"/>
      </w:pPr>
      <w:r>
        <w:t>Urzędu Skarbowego w Szamotułach</w:t>
      </w:r>
    </w:p>
    <w:p w14:paraId="574A4730" w14:textId="77777777" w:rsidR="00244AFC" w:rsidRDefault="00244AFC" w:rsidP="00244AFC">
      <w:pPr>
        <w:spacing w:after="0"/>
        <w:ind w:left="2832" w:firstLine="708"/>
        <w:jc w:val="center"/>
      </w:pPr>
      <w:r>
        <w:t>Kierownik Działu</w:t>
      </w:r>
    </w:p>
    <w:p w14:paraId="5799D992" w14:textId="77777777" w:rsidR="00244AFC" w:rsidRDefault="00244AFC" w:rsidP="00244AFC">
      <w:pPr>
        <w:spacing w:after="0"/>
        <w:ind w:left="2832" w:firstLine="708"/>
        <w:jc w:val="center"/>
      </w:pPr>
      <w:r>
        <w:t>Zbigniew Misiewicz</w:t>
      </w:r>
    </w:p>
    <w:p w14:paraId="443CADC6" w14:textId="77777777" w:rsidR="00244AFC" w:rsidRDefault="00244AFC" w:rsidP="00244AFC">
      <w:pPr>
        <w:spacing w:after="0"/>
        <w:ind w:left="2832" w:firstLine="708"/>
        <w:jc w:val="center"/>
      </w:pPr>
      <w:r>
        <w:t>(podpisano kwalifikowanym podpisem elektronicznym)</w:t>
      </w:r>
    </w:p>
    <w:p w14:paraId="66E368CF" w14:textId="77777777" w:rsidR="00244AFC" w:rsidRDefault="00244AFC" w:rsidP="00244AFC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D4392"/>
    <w:rsid w:val="002222FF"/>
    <w:rsid w:val="00244AFC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76B20"/>
    <w:rsid w:val="00582578"/>
    <w:rsid w:val="00594807"/>
    <w:rsid w:val="00595A5E"/>
    <w:rsid w:val="005B5B42"/>
    <w:rsid w:val="005C6372"/>
    <w:rsid w:val="005D7A7D"/>
    <w:rsid w:val="00602F80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90329B"/>
    <w:rsid w:val="009124B1"/>
    <w:rsid w:val="00913B8B"/>
    <w:rsid w:val="0095633B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50E8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65</cp:revision>
  <cp:lastPrinted>2026-01-21T12:58:00Z</cp:lastPrinted>
  <dcterms:created xsi:type="dcterms:W3CDTF">2023-02-10T11:00:00Z</dcterms:created>
  <dcterms:modified xsi:type="dcterms:W3CDTF">2026-02-26T12:36:00Z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