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2 </w:t>
      </w:r>
      <w:r>
        <w:rPr>
          <w:rFonts w:ascii="Lato" w:hAnsi="Lato"/>
          <w:i/>
          <w:color w:val="2F5496"/>
        </w:rPr>
        <w:t>styczni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a</w:t>
      </w:r>
      <w:r>
        <w:rPr>
          <w:rFonts w:ascii="Lato" w:hAnsi="Lato"/>
        </w:rPr>
        <w:t xml:space="preserve"> 202</w:t>
      </w:r>
      <w:r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6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styczni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 xml:space="preserve"> rok, 14.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 xml:space="preserve">Piła, ul. </w:t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Promienna 4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Samochód osobowy 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BMW 118D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, 200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 rok, nr rej. PP3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>353L</w:t>
            </w: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b w:val="false"/>
                <w:i/>
                <w:iCs/>
                <w:caps w:val="false"/>
                <w:smallCaps w:val="false"/>
                <w:color w:val="2A6099"/>
                <w:spacing w:val="0"/>
                <w:sz w:val="24"/>
                <w:szCs w:val="24"/>
              </w:rPr>
              <w:t>W</w:t>
            </w:r>
            <w:r>
              <w:rPr>
                <w:b w:val="false"/>
                <w:i/>
                <w:iCs/>
                <w:caps w:val="false"/>
                <w:smallCaps w:val="false"/>
                <w:color w:val="2A6099"/>
                <w:spacing w:val="0"/>
                <w:sz w:val="24"/>
                <w:szCs w:val="24"/>
              </w:rPr>
              <w:t>BAUG31000PU64777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6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875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 xml:space="preserve">brak rozruchu, 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brudne wnętrze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. Data pierwszej rejestracji 0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7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.0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7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.200</w:t>
            </w: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6 r.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1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6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styczni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>202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>6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3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5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14.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0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 xml:space="preserve">przy ul.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>Promiennej 4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132 ze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Z upoważnienia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</w:t>
        <w:tab/>
        <w:tab/>
        <w:tab/>
        <w:t xml:space="preserve">Naczelnika Urzędu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Skarbowego w Pile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Anna Krystek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zastępca naczelnika</w:t>
      </w:r>
    </w:p>
    <w:p>
      <w:pPr>
        <w:pStyle w:val="TekstpismaKAS"/>
        <w:jc w:val="left"/>
        <w:rPr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 xml:space="preserve">  </w:t>
      </w:r>
      <w:r>
        <w:rPr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 xml:space="preserve">   </w:t>
      </w:r>
      <w:r>
        <w:rPr>
          <w:sz w:val="20"/>
          <w:szCs w:val="20"/>
        </w:rPr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</w:t>
        <w:tab/>
        <w:t>odpisem elektronicznym)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Application>LibreOffice/25.2.3.2$Windows_X86_64 LibreOffice_project/bbb074479178df812d175f709636b368952c2ce3</Application>
  <AppVersion>15.0000</AppVersion>
  <Pages>2</Pages>
  <Words>290</Words>
  <Characters>1889</Characters>
  <CharactersWithSpaces>2461</CharactersWithSpaces>
  <Paragraphs>47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2026-01-02T11:33:07Z</dcterms:modified>
  <cp:revision>58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3019-SEE.715.3.2025.136</vt:lpwstr>
  </op:property>
  <op:property fmtid="{D5CDD505-2E9C-101B-9397-08002B2CF9AE}" pid="13" name="UNPPisma">
    <vt:lpwstr>3019-26-000200</vt:lpwstr>
  </op:property>
  <op:property fmtid="{D5CDD505-2E9C-101B-9397-08002B2CF9AE}" pid="14" name="ZnakSprawy">
    <vt:lpwstr>3019-SEE.715.3.2025</vt:lpwstr>
  </op:property>
  <op:property fmtid="{D5CDD505-2E9C-101B-9397-08002B2CF9AE}" pid="15" name="ZnakSprawy2">
    <vt:lpwstr>Znak sprawy: 3019-SEE.715.3.2025</vt:lpwstr>
  </op:property>
  <op:property fmtid="{D5CDD505-2E9C-101B-9397-08002B2CF9AE}" pid="16" name="AktualnaDataSlownie">
    <vt:lpwstr>2 stycznia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licytacji MRK II K 521/25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2026-01-02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