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14935" distB="104140" distL="234950" distR="10541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6.5pt" to="454.7pt,6.85pt" ID="Łącznik prosty 2" stroked="t" o:allowincell="f" style="position:absolute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>Piła, 10 czerwc</w:t>
      </w:r>
      <w:r>
        <w:rPr>
          <w:rFonts w:eastAsia="Calibri" w:cs="Tahoma" w:ascii="Lato" w:hAnsi="Lato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2025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eastAsia="Calibri" w:cs="Tahoma" w:ascii="Lato" w:hAnsi="Lato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27 czerwca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2025 rok, 10.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15</w:t>
      </w:r>
    </w:p>
    <w:p>
      <w:pPr>
        <w:pStyle w:val="Normal"/>
        <w:spacing w:before="240" w:after="240"/>
        <w:ind w:hanging="1418" w:left="1418" w:right="0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Tahoma" w:ascii="Lato" w:hAnsi="Lato"/>
          <w:b w:val="false"/>
          <w:bCs w:val="false"/>
          <w:i/>
          <w:color w:val="2A6099"/>
          <w:kern w:val="0"/>
          <w:sz w:val="24"/>
          <w:szCs w:val="24"/>
          <w:lang w:val="pl-PL" w:eastAsia="en-US" w:bidi="ar-SA"/>
        </w:rPr>
        <w:t>Magazyn Urzędu Skarbowego w Pile</w:t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fr-FR"/>
        </w:rPr>
        <w:t xml:space="preserve">, ul. Kossaka 106 </w:t>
      </w:r>
    </w:p>
    <w:p>
      <w:pPr>
        <w:pStyle w:val="Heading2"/>
        <w:spacing w:lineRule="auto" w:line="240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Łom metalowy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,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en-US" w:bidi="ar-SA"/>
              </w:rPr>
              <w:t>Skrzynka narzędziowa z zawartością narzędzi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4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/>
              <w:t xml:space="preserve">  </w:t>
            </w:r>
            <w:r>
              <w:rPr/>
              <w:t>30</w:t>
            </w:r>
            <w:r>
              <w:rPr/>
              <w:t>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eastAsia="Cambria" w:cs="Times New Roman" w:ascii="Lato" w:hAnsi="Lato"/>
          <w:bCs/>
          <w:sz w:val="24"/>
          <w:szCs w:val="24"/>
          <w:lang w:eastAsia="zh-CN"/>
        </w:rPr>
      </w:r>
    </w:p>
    <w:p>
      <w:pPr>
        <w:pStyle w:val="Normal"/>
        <w:spacing w:lineRule="auto" w:line="276" w:before="0" w:after="0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eastAsia="Cambria" w:cs="Times New Roman" w:ascii="Lato" w:hAnsi="Lato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eastAsia="Calibri" w:cs="Tahoma" w:ascii="Lato" w:hAnsi="Lato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lineRule="auto" w:line="240" w:before="120" w:after="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eastAsia="Cambria" w:cs="Times New Roman" w:ascii="Lato" w:hAnsi="Lato"/>
          <w:bCs/>
          <w:sz w:val="24"/>
          <w:szCs w:val="24"/>
          <w:lang w:eastAsia="zh-CN"/>
        </w:rPr>
        <w:t xml:space="preserve">Ruchomości można oglądać </w:t>
      </w:r>
      <w:r>
        <w:rPr>
          <w:rFonts w:eastAsia="Cambria" w:cs="Times New Roman" w:ascii="Lato" w:hAnsi="Lato"/>
          <w:bCs/>
          <w:i/>
          <w:color w:themeColor="accent1" w:themeShade="bf" w:val="2F5496"/>
          <w:sz w:val="24"/>
          <w:szCs w:val="24"/>
          <w:lang w:eastAsia="zh-CN"/>
        </w:rPr>
        <w:t>27 czerwc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</w:t>
      </w:r>
      <w:r>
        <w:rPr>
          <w:rFonts w:eastAsia="Cambria" w:cs="Times New Roman" w:ascii="Lato" w:hAnsi="Lato"/>
          <w:bCs/>
          <w:color w:themeColor="accent1" w:themeShade="bf"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sz w:val="24"/>
          <w:szCs w:val="24"/>
          <w:lang w:eastAsia="zh-CN"/>
        </w:rPr>
        <w:t xml:space="preserve">2025 roku od godz. </w:t>
      </w:r>
      <w:r>
        <w:rPr>
          <w:rFonts w:eastAsia="Cambria" w:cs="Times New Roman" w:ascii="Lato" w:hAnsi="Lato"/>
          <w:bCs/>
          <w:i/>
          <w:color w:themeColor="accent1" w:themeShade="bf" w:val="2F5496"/>
          <w:sz w:val="24"/>
          <w:szCs w:val="24"/>
          <w:lang w:eastAsia="zh-CN"/>
        </w:rPr>
        <w:t>10.05</w:t>
      </w:r>
      <w:r>
        <w:rPr>
          <w:rFonts w:eastAsia="Cambria" w:cs="Times New Roman" w:ascii="Lato" w:hAnsi="Lato"/>
          <w:bCs/>
          <w:sz w:val="24"/>
          <w:szCs w:val="24"/>
          <w:lang w:eastAsia="zh-CN"/>
        </w:rPr>
        <w:t xml:space="preserve"> do godz. </w:t>
      </w:r>
      <w:r>
        <w:rPr>
          <w:rFonts w:eastAsia="Cambria" w:cs="Times New Roman" w:ascii="Lato" w:hAnsi="Lato"/>
          <w:bCs/>
          <w:i/>
          <w:color w:themeColor="accent1" w:themeShade="bf" w:val="2F5496"/>
          <w:sz w:val="24"/>
          <w:szCs w:val="24"/>
          <w:lang w:eastAsia="zh-CN"/>
        </w:rPr>
        <w:t>10.</w:t>
      </w:r>
      <w:r>
        <w:rPr>
          <w:rFonts w:eastAsia="Cambria" w:cs="Times New Roman" w:ascii="Lato" w:hAnsi="Lato"/>
          <w:bCs/>
          <w:i/>
          <w:color w:themeColor="accent1" w:themeShade="bf" w:val="2F5496"/>
          <w:sz w:val="24"/>
          <w:szCs w:val="24"/>
          <w:lang w:eastAsia="zh-CN"/>
        </w:rPr>
        <w:t>15</w:t>
      </w:r>
      <w:r>
        <w:rPr>
          <w:rFonts w:eastAsia="Cambria" w:cs="Times New Roman" w:ascii="Lato" w:hAnsi="Lato"/>
          <w:bCs/>
          <w:color w:themeColor="accent1" w:themeShade="bf" w:val="2F5496"/>
          <w:sz w:val="24"/>
          <w:szCs w:val="24"/>
          <w:lang w:eastAsia="zh-CN"/>
        </w:rPr>
        <w:t xml:space="preserve">  </w:t>
      </w:r>
      <w:r>
        <w:rPr>
          <w:rFonts w:eastAsia="Cambria" w:cs="Times New Roman" w:ascii="Lato" w:hAnsi="Lato"/>
          <w:bCs/>
          <w:i/>
          <w:color w:themeColor="accent1" w:themeShade="bf" w:val="2F5496"/>
          <w:sz w:val="24"/>
          <w:szCs w:val="24"/>
          <w:lang w:eastAsia="zh-CN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Urzędzie Skarbowym w Pile przy ul. Kossaka 106</w:t>
      </w:r>
    </w:p>
    <w:p>
      <w:pPr>
        <w:pStyle w:val="Standard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lineRule="auto" w:line="276" w:before="0" w:after="0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eastAsia="Cambria" w:cs="Times New Roman" w:ascii="Lato" w:hAnsi="Lato"/>
          <w:bCs/>
          <w:sz w:val="24"/>
          <w:szCs w:val="24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67 35 26 308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lineRule="auto" w:line="240" w:before="120" w:after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/>
          <w:color w:val="auto"/>
          <w:kern w:val="0"/>
          <w:sz w:val="24"/>
          <w:szCs w:val="24"/>
          <w:lang w:val="pl-PL" w:eastAsia="pl-PL" w:bidi="ar-SA"/>
        </w:rPr>
        <w:t>132 ze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id="0" w:name="__DdeLink__246_141249667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</w:t>
        <w:tab/>
        <w:tab/>
        <w:tab/>
        <w:tab/>
        <w:tab/>
        <w:t xml:space="preserve">  Z up. Naczelnika</w:t>
      </w:r>
    </w:p>
    <w:p>
      <w:pPr>
        <w:pStyle w:val="Normal"/>
        <w:spacing w:lineRule="auto" w:line="240"/>
        <w:ind w:firstLine="709" w:left="4254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 xml:space="preserve">  Urzędu Skarbowego w Pile</w:t>
      </w:r>
    </w:p>
    <w:p>
      <w:pPr>
        <w:pStyle w:val="Normal"/>
        <w:spacing w:lineRule="auto" w:line="240"/>
        <w:ind w:firstLine="709" w:left="4254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 xml:space="preserve">   Anna Krystek</w:t>
      </w:r>
    </w:p>
    <w:p>
      <w:pPr>
        <w:pStyle w:val="TekstpismaKAS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ab/>
        <w:t xml:space="preserve">   zastępca Naczelnika     </w:t>
      </w:r>
      <w:r>
        <w:rPr/>
        <w:t xml:space="preserve">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Application>LibreOffice/25.2.3.2$Windows_X86_64 LibreOffice_project/bbb074479178df812d175f709636b368952c2ce3</Application>
  <AppVersion>15.0000</AppVersion>
  <Pages>2</Pages>
  <Words>286</Words>
  <Characters>1818</Characters>
  <CharactersWithSpaces>2405</CharactersWithSpaces>
  <Paragraphs>51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2025-06-10T11:42:22Z</dcterms:modified>
  <cp:revision>52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